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49C7" w:rsidRDefault="00F349C7" w:rsidP="00D8483B">
      <w:pPr>
        <w:jc w:val="center"/>
        <w:rPr>
          <w:b/>
          <w:bCs/>
          <w:color w:val="FF0000"/>
        </w:rPr>
      </w:pPr>
      <w:bookmarkStart w:id="0" w:name="_Hlk60938046"/>
      <w:bookmarkStart w:id="1" w:name="_Toc60322727"/>
    </w:p>
    <w:p w:rsidR="00F349C7" w:rsidRDefault="00F349C7" w:rsidP="00D8483B">
      <w:pPr>
        <w:jc w:val="center"/>
        <w:rPr>
          <w:b/>
          <w:bCs/>
          <w:color w:val="FF0000"/>
        </w:rPr>
      </w:pPr>
    </w:p>
    <w:p w:rsidR="00F349C7" w:rsidRDefault="00F349C7" w:rsidP="00D8483B">
      <w:pPr>
        <w:jc w:val="center"/>
        <w:rPr>
          <w:b/>
          <w:bCs/>
          <w:color w:val="FF0000"/>
        </w:rPr>
      </w:pPr>
    </w:p>
    <w:p w:rsidR="00D8483B" w:rsidRPr="00040058" w:rsidRDefault="00D8483B" w:rsidP="00D8483B">
      <w:pPr>
        <w:jc w:val="center"/>
        <w:rPr>
          <w:b/>
          <w:bCs/>
          <w:color w:val="FF0000"/>
        </w:rPr>
      </w:pPr>
      <w:r w:rsidRPr="00040058">
        <w:rPr>
          <w:b/>
          <w:bCs/>
          <w:color w:val="FF0000"/>
        </w:rPr>
        <w:t>Proyecto Estatal Anual 2021</w:t>
      </w:r>
    </w:p>
    <w:bookmarkEnd w:id="1"/>
    <w:p w:rsidR="00AB18E8" w:rsidRPr="00040058" w:rsidRDefault="00AB18E8" w:rsidP="00AB18E8">
      <w:pPr>
        <w:pStyle w:val="texto0"/>
        <w:spacing w:after="120" w:line="276" w:lineRule="auto"/>
        <w:ind w:firstLine="0"/>
        <w:jc w:val="center"/>
        <w:rPr>
          <w:rFonts w:ascii="Montserrat" w:eastAsiaTheme="minorHAnsi" w:hAnsi="Montserrat" w:cstheme="minorBidi"/>
          <w:b/>
          <w:bCs/>
          <w:color w:val="FF0000"/>
          <w:sz w:val="20"/>
          <w:szCs w:val="22"/>
          <w:lang w:eastAsia="en-US"/>
        </w:rPr>
      </w:pPr>
      <w:r w:rsidRPr="00040058">
        <w:rPr>
          <w:rFonts w:ascii="Montserrat" w:eastAsiaTheme="minorHAnsi" w:hAnsi="Montserrat" w:cstheme="minorBidi"/>
          <w:b/>
          <w:bCs/>
          <w:color w:val="FF0000"/>
          <w:sz w:val="20"/>
          <w:szCs w:val="22"/>
          <w:lang w:eastAsia="en-US"/>
        </w:rPr>
        <w:t>Anexo N.1. Proyecto de Reglas de Operación de los Programas de la EIASADC</w:t>
      </w:r>
    </w:p>
    <w:bookmarkEnd w:id="0"/>
    <w:p w:rsidR="00AB18E8" w:rsidRDefault="00AB18E8" w:rsidP="00AB18E8">
      <w:pPr>
        <w:pStyle w:val="texto0"/>
        <w:spacing w:after="120" w:line="276" w:lineRule="auto"/>
        <w:ind w:firstLine="0"/>
        <w:rPr>
          <w:rFonts w:ascii="Montserrat" w:eastAsiaTheme="minorHAnsi" w:hAnsi="Montserrat" w:cstheme="minorBidi"/>
          <w:b/>
          <w:bCs/>
          <w:sz w:val="20"/>
          <w:szCs w:val="22"/>
          <w:lang w:eastAsia="en-US"/>
        </w:rPr>
      </w:pPr>
    </w:p>
    <w:p w:rsidR="004F2C5F" w:rsidRPr="007C359B" w:rsidRDefault="004F2C5F" w:rsidP="004F2C5F">
      <w:pPr>
        <w:pStyle w:val="texto0"/>
        <w:spacing w:after="120" w:line="276" w:lineRule="auto"/>
        <w:ind w:left="360" w:firstLine="0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CONSIDERANDOS</w:t>
      </w:r>
    </w:p>
    <w:p w:rsidR="004F2C5F" w:rsidRPr="007C359B" w:rsidRDefault="004F2C5F" w:rsidP="004F2C5F">
      <w:pPr>
        <w:pStyle w:val="texto0"/>
        <w:numPr>
          <w:ilvl w:val="0"/>
          <w:numId w:val="1"/>
        </w:numPr>
        <w:spacing w:after="120" w:line="276" w:lineRule="auto"/>
        <w:ind w:left="720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Introducción</w:t>
      </w:r>
    </w:p>
    <w:p w:rsidR="004F2C5F" w:rsidRPr="007C359B" w:rsidRDefault="004F2C5F" w:rsidP="004F2C5F">
      <w:pPr>
        <w:pStyle w:val="Texto"/>
        <w:spacing w:after="120" w:line="276" w:lineRule="auto"/>
        <w:ind w:firstLine="0"/>
        <w:rPr>
          <w:rFonts w:ascii="Montserrat" w:hAnsi="Montserrat"/>
          <w:sz w:val="20"/>
        </w:rPr>
      </w:pPr>
      <w:r w:rsidRPr="007C359B">
        <w:rPr>
          <w:rFonts w:ascii="Montserrat" w:hAnsi="Montserrat"/>
          <w:sz w:val="20"/>
          <w:lang w:val="es-MX"/>
        </w:rPr>
        <w:t>(</w:t>
      </w:r>
      <w:r w:rsidRPr="007C359B">
        <w:rPr>
          <w:rFonts w:ascii="Montserrat" w:hAnsi="Montserrat"/>
          <w:sz w:val="20"/>
        </w:rPr>
        <w:t>Breve descripción d</w:t>
      </w:r>
      <w:r>
        <w:rPr>
          <w:rFonts w:ascii="Montserrat" w:hAnsi="Montserrat"/>
          <w:sz w:val="20"/>
        </w:rPr>
        <w:t>el programa, indicando por qué,</w:t>
      </w:r>
      <w:r w:rsidRPr="007C359B">
        <w:rPr>
          <w:rFonts w:ascii="Montserrat" w:hAnsi="Montserrat"/>
          <w:sz w:val="20"/>
        </w:rPr>
        <w:t xml:space="preserve"> para qué existe y a quién va dirigido. Este apartado deberá resumir la problemática planteada en el diagnóstico y describir la forma en que el problema afecta a hombres y mujeres. Además, debe incluir la alineación a los objetivos sectoriales, nacionales y demás compromisos asumidos a nivel internacional por el país, así como indicar la vigencia de las ROP).</w:t>
      </w:r>
    </w:p>
    <w:p w:rsidR="004F2C5F" w:rsidRPr="007C359B" w:rsidRDefault="004F2C5F" w:rsidP="004F2C5F">
      <w:pPr>
        <w:pStyle w:val="texto0"/>
        <w:numPr>
          <w:ilvl w:val="1"/>
          <w:numId w:val="1"/>
        </w:numPr>
        <w:spacing w:after="120" w:line="276" w:lineRule="auto"/>
        <w:ind w:left="1152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Antecedentes</w:t>
      </w:r>
    </w:p>
    <w:p w:rsidR="004F2C5F" w:rsidRPr="007C359B" w:rsidRDefault="004F2C5F" w:rsidP="004F2C5F">
      <w:pPr>
        <w:pStyle w:val="texto0"/>
        <w:numPr>
          <w:ilvl w:val="1"/>
          <w:numId w:val="1"/>
        </w:numPr>
        <w:spacing w:after="120" w:line="276" w:lineRule="auto"/>
        <w:ind w:left="1152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Glosario de términos</w:t>
      </w:r>
    </w:p>
    <w:p w:rsidR="004F2C5F" w:rsidRPr="007C359B" w:rsidRDefault="004F2C5F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Glosario de términos con la descripción clara y utilizando lenguaje de fácil entendimiento para cualquier persona.</w:t>
      </w:r>
    </w:p>
    <w:p w:rsidR="004F2C5F" w:rsidRPr="007C359B" w:rsidRDefault="004F2C5F" w:rsidP="004F2C5F">
      <w:pPr>
        <w:pStyle w:val="texto0"/>
        <w:numPr>
          <w:ilvl w:val="0"/>
          <w:numId w:val="1"/>
        </w:numPr>
        <w:spacing w:after="120" w:line="276" w:lineRule="auto"/>
        <w:ind w:left="720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Objetivo</w:t>
      </w:r>
    </w:p>
    <w:p w:rsidR="004F2C5F" w:rsidRPr="007C359B" w:rsidRDefault="004F2C5F" w:rsidP="004F2C5F">
      <w:pPr>
        <w:pStyle w:val="Texto"/>
        <w:spacing w:after="120" w:line="276" w:lineRule="auto"/>
        <w:ind w:firstLine="0"/>
        <w:rPr>
          <w:rFonts w:ascii="Montserrat" w:hAnsi="Montserrat"/>
          <w:sz w:val="20"/>
        </w:rPr>
      </w:pPr>
      <w:r w:rsidRPr="007C359B">
        <w:rPr>
          <w:rFonts w:ascii="Montserrat" w:hAnsi="Montserrat"/>
          <w:sz w:val="20"/>
        </w:rPr>
        <w:t>Objetivo general para cada programa (véase objetivo de cada programa en la presente estrategia).</w:t>
      </w:r>
    </w:p>
    <w:p w:rsidR="004F2C5F" w:rsidRPr="007C359B" w:rsidRDefault="004F2C5F" w:rsidP="004F2C5F">
      <w:pPr>
        <w:pStyle w:val="texto0"/>
        <w:numPr>
          <w:ilvl w:val="1"/>
          <w:numId w:val="1"/>
        </w:numPr>
        <w:spacing w:after="120" w:line="276" w:lineRule="auto"/>
        <w:ind w:left="1152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Objetivos específicos</w:t>
      </w:r>
    </w:p>
    <w:p w:rsidR="004F2C5F" w:rsidRPr="007C359B" w:rsidRDefault="004F2C5F" w:rsidP="004F2C5F">
      <w:pPr>
        <w:pStyle w:val="Texto"/>
        <w:spacing w:after="120" w:line="276" w:lineRule="auto"/>
        <w:ind w:firstLine="0"/>
        <w:rPr>
          <w:rFonts w:ascii="Montserrat" w:hAnsi="Montserrat"/>
          <w:b/>
          <w:sz w:val="20"/>
        </w:rPr>
      </w:pPr>
      <w:r w:rsidRPr="007C359B">
        <w:rPr>
          <w:rFonts w:ascii="Montserrat" w:hAnsi="Montserrat"/>
          <w:sz w:val="20"/>
        </w:rPr>
        <w:t>Objetivos específicos para cada programa</w:t>
      </w:r>
      <w:r>
        <w:rPr>
          <w:rFonts w:ascii="Montserrat" w:hAnsi="Montserrat"/>
          <w:sz w:val="20"/>
        </w:rPr>
        <w:t>.</w:t>
      </w:r>
    </w:p>
    <w:p w:rsidR="004F2C5F" w:rsidRPr="007C359B" w:rsidRDefault="004F2C5F" w:rsidP="004F2C5F">
      <w:pPr>
        <w:pStyle w:val="texto0"/>
        <w:numPr>
          <w:ilvl w:val="0"/>
          <w:numId w:val="1"/>
        </w:numPr>
        <w:spacing w:after="120" w:line="276" w:lineRule="auto"/>
        <w:ind w:left="720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Lineamientos</w:t>
      </w:r>
    </w:p>
    <w:p w:rsidR="004F2C5F" w:rsidRPr="007C359B" w:rsidRDefault="004F2C5F" w:rsidP="004F2C5F">
      <w:pPr>
        <w:pStyle w:val="texto0"/>
        <w:numPr>
          <w:ilvl w:val="1"/>
          <w:numId w:val="1"/>
        </w:numPr>
        <w:spacing w:after="120" w:line="276" w:lineRule="auto"/>
        <w:ind w:left="1152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Cobertura</w:t>
      </w:r>
    </w:p>
    <w:p w:rsidR="004F2C5F" w:rsidRDefault="004F2C5F" w:rsidP="004F2C5F">
      <w:pPr>
        <w:autoSpaceDE w:val="0"/>
        <w:autoSpaceDN w:val="0"/>
        <w:adjustRightInd w:val="0"/>
        <w:spacing w:line="276" w:lineRule="auto"/>
        <w:jc w:val="both"/>
        <w:rPr>
          <w:rFonts w:cs="Montserrat"/>
          <w:color w:val="000000"/>
          <w:szCs w:val="20"/>
        </w:rPr>
      </w:pPr>
      <w:r w:rsidRPr="00303176">
        <w:rPr>
          <w:rFonts w:cs="Montserrat"/>
          <w:color w:val="000000"/>
          <w:szCs w:val="20"/>
        </w:rPr>
        <w:t>Ámbito geográfico de aplicación del programa, (indicar, en su caso, las características de las regiones, municipios</w:t>
      </w:r>
      <w:r>
        <w:rPr>
          <w:rFonts w:cs="Montserrat"/>
          <w:color w:val="000000"/>
          <w:szCs w:val="20"/>
        </w:rPr>
        <w:t>,</w:t>
      </w:r>
      <w:r w:rsidRPr="00303176">
        <w:rPr>
          <w:rFonts w:cs="Montserrat"/>
          <w:color w:val="000000"/>
          <w:szCs w:val="20"/>
        </w:rPr>
        <w:t xml:space="preserve"> localidades</w:t>
      </w:r>
      <w:r>
        <w:rPr>
          <w:rFonts w:cs="Montserrat"/>
          <w:color w:val="000000"/>
          <w:szCs w:val="20"/>
        </w:rPr>
        <w:t xml:space="preserve"> o AGEB</w:t>
      </w:r>
      <w:r w:rsidRPr="00303176">
        <w:rPr>
          <w:rFonts w:cs="Montserrat"/>
          <w:color w:val="000000"/>
          <w:szCs w:val="20"/>
        </w:rPr>
        <w:t xml:space="preserve">). </w:t>
      </w:r>
    </w:p>
    <w:p w:rsidR="004F2C5F" w:rsidRPr="007C359B" w:rsidRDefault="004F2C5F" w:rsidP="004F2C5F">
      <w:pPr>
        <w:pStyle w:val="texto0"/>
        <w:numPr>
          <w:ilvl w:val="1"/>
          <w:numId w:val="1"/>
        </w:numPr>
        <w:spacing w:after="120" w:line="276" w:lineRule="auto"/>
        <w:ind w:left="1152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Población</w:t>
      </w:r>
    </w:p>
    <w:p w:rsidR="004F2C5F" w:rsidRDefault="004F2C5F" w:rsidP="004F2C5F">
      <w:pPr>
        <w:pStyle w:val="texto0"/>
        <w:numPr>
          <w:ilvl w:val="2"/>
          <w:numId w:val="1"/>
        </w:numPr>
        <w:spacing w:after="120" w:line="276" w:lineRule="auto"/>
        <w:ind w:left="1584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Población potencial</w:t>
      </w:r>
    </w:p>
    <w:p w:rsidR="004F2C5F" w:rsidRDefault="004F2C5F" w:rsidP="004F2C5F">
      <w:pPr>
        <w:autoSpaceDE w:val="0"/>
        <w:autoSpaceDN w:val="0"/>
        <w:adjustRightInd w:val="0"/>
        <w:spacing w:line="276" w:lineRule="auto"/>
        <w:jc w:val="both"/>
        <w:rPr>
          <w:rFonts w:cs="Montserrat"/>
          <w:b/>
          <w:bCs/>
          <w:color w:val="000000"/>
          <w:szCs w:val="20"/>
        </w:rPr>
      </w:pPr>
      <w:r>
        <w:rPr>
          <w:rFonts w:cs="Montserrat"/>
          <w:color w:val="000000"/>
          <w:szCs w:val="20"/>
        </w:rPr>
        <w:t>Conjunto de la población que presenta el problema central que el programa atiende.</w:t>
      </w:r>
      <w:r w:rsidRPr="00303176">
        <w:rPr>
          <w:rFonts w:cs="Montserrat"/>
          <w:b/>
          <w:bCs/>
          <w:color w:val="000000"/>
          <w:szCs w:val="20"/>
        </w:rPr>
        <w:t xml:space="preserve"> </w:t>
      </w:r>
    </w:p>
    <w:p w:rsidR="004F2C5F" w:rsidRDefault="004F2C5F" w:rsidP="004F2C5F">
      <w:pPr>
        <w:pStyle w:val="texto0"/>
        <w:numPr>
          <w:ilvl w:val="2"/>
          <w:numId w:val="1"/>
        </w:numPr>
        <w:spacing w:after="120" w:line="276" w:lineRule="auto"/>
        <w:ind w:left="1584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 xml:space="preserve">Población </w:t>
      </w:r>
      <w:r>
        <w:rPr>
          <w:rFonts w:ascii="Montserrat" w:hAnsi="Montserrat"/>
          <w:b/>
          <w:sz w:val="20"/>
          <w:szCs w:val="20"/>
        </w:rPr>
        <w:t>objetivo</w:t>
      </w:r>
    </w:p>
    <w:p w:rsidR="004F2C5F" w:rsidRDefault="004F2C5F" w:rsidP="004F2C5F">
      <w:pPr>
        <w:pStyle w:val="texto0"/>
        <w:spacing w:after="120" w:line="276" w:lineRule="auto"/>
        <w:ind w:firstLine="0"/>
        <w:rPr>
          <w:rFonts w:ascii="Montserrat" w:hAnsi="Montserrat" w:cs="Montserrat"/>
          <w:color w:val="000000"/>
          <w:sz w:val="20"/>
          <w:szCs w:val="20"/>
        </w:rPr>
      </w:pPr>
      <w:r w:rsidRPr="00D90CD9">
        <w:rPr>
          <w:rFonts w:ascii="Montserrat" w:hAnsi="Montserrat"/>
          <w:sz w:val="20"/>
          <w:szCs w:val="20"/>
        </w:rPr>
        <w:t>Grupo específico</w:t>
      </w:r>
      <w:r w:rsidRPr="00B15AD5">
        <w:rPr>
          <w:rFonts w:ascii="Montserrat" w:hAnsi="Montserrat" w:cs="Montserrat"/>
          <w:color w:val="000000"/>
          <w:sz w:val="20"/>
          <w:szCs w:val="20"/>
        </w:rPr>
        <w:t xml:space="preserve"> de</w:t>
      </w:r>
      <w:r w:rsidRPr="00303176">
        <w:rPr>
          <w:rFonts w:ascii="Montserrat" w:hAnsi="Montserrat" w:cs="Montserrat"/>
          <w:color w:val="000000"/>
          <w:sz w:val="20"/>
          <w:szCs w:val="20"/>
        </w:rPr>
        <w:t xml:space="preserve"> personas que un programa tiene planeado o programado atender y que cumple con los criterios de elegibilidad establecidos en su normatividad (deberá tomarse de la sección, población objetivo</w:t>
      </w:r>
      <w:r>
        <w:rPr>
          <w:rFonts w:ascii="Montserrat" w:hAnsi="Montserrat" w:cs="Montserrat"/>
          <w:color w:val="000000"/>
          <w:sz w:val="20"/>
          <w:szCs w:val="20"/>
        </w:rPr>
        <w:t xml:space="preserve"> de cada programa).</w:t>
      </w:r>
    </w:p>
    <w:p w:rsidR="00F349C7" w:rsidRDefault="00F349C7" w:rsidP="004F2C5F">
      <w:pPr>
        <w:pStyle w:val="texto0"/>
        <w:spacing w:after="120" w:line="276" w:lineRule="auto"/>
        <w:ind w:firstLine="0"/>
        <w:rPr>
          <w:rFonts w:ascii="Montserrat" w:hAnsi="Montserrat" w:cs="Montserrat"/>
          <w:color w:val="000000"/>
          <w:sz w:val="20"/>
          <w:szCs w:val="20"/>
        </w:rPr>
      </w:pPr>
    </w:p>
    <w:p w:rsidR="00F349C7" w:rsidRDefault="00F349C7" w:rsidP="004F2C5F">
      <w:pPr>
        <w:pStyle w:val="texto0"/>
        <w:spacing w:after="120" w:line="276" w:lineRule="auto"/>
        <w:ind w:firstLine="0"/>
        <w:rPr>
          <w:rFonts w:ascii="Montserrat" w:hAnsi="Montserrat" w:cs="Montserrat"/>
          <w:color w:val="000000"/>
          <w:sz w:val="20"/>
          <w:szCs w:val="20"/>
        </w:rPr>
      </w:pPr>
    </w:p>
    <w:p w:rsidR="00F349C7" w:rsidRDefault="00F349C7" w:rsidP="004F2C5F">
      <w:pPr>
        <w:pStyle w:val="texto0"/>
        <w:spacing w:after="120" w:line="276" w:lineRule="auto"/>
        <w:ind w:firstLine="0"/>
        <w:rPr>
          <w:rFonts w:ascii="Montserrat" w:hAnsi="Montserrat" w:cs="Montserrat"/>
          <w:color w:val="000000"/>
          <w:sz w:val="20"/>
          <w:szCs w:val="20"/>
        </w:rPr>
      </w:pPr>
    </w:p>
    <w:p w:rsidR="00F349C7" w:rsidRDefault="00F349C7" w:rsidP="004F2C5F">
      <w:pPr>
        <w:pStyle w:val="texto0"/>
        <w:spacing w:after="120" w:line="276" w:lineRule="auto"/>
        <w:ind w:firstLine="0"/>
        <w:rPr>
          <w:rFonts w:ascii="Montserrat" w:hAnsi="Montserrat" w:cs="Montserrat"/>
          <w:color w:val="000000"/>
          <w:sz w:val="20"/>
          <w:szCs w:val="20"/>
        </w:rPr>
      </w:pPr>
    </w:p>
    <w:p w:rsidR="00F349C7" w:rsidRPr="007C359B" w:rsidRDefault="00F349C7" w:rsidP="004F2C5F">
      <w:pPr>
        <w:pStyle w:val="texto0"/>
        <w:spacing w:after="120" w:line="276" w:lineRule="auto"/>
        <w:ind w:firstLine="0"/>
        <w:rPr>
          <w:rFonts w:ascii="Montserrat" w:hAnsi="Montserrat"/>
          <w:b/>
          <w:sz w:val="20"/>
          <w:szCs w:val="20"/>
        </w:rPr>
      </w:pPr>
    </w:p>
    <w:p w:rsidR="004F2C5F" w:rsidRPr="007C359B" w:rsidRDefault="004F2C5F" w:rsidP="004F2C5F">
      <w:pPr>
        <w:pStyle w:val="texto0"/>
        <w:numPr>
          <w:ilvl w:val="2"/>
          <w:numId w:val="1"/>
        </w:numPr>
        <w:spacing w:after="120" w:line="276" w:lineRule="auto"/>
        <w:ind w:left="1584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Criterios de focalización</w:t>
      </w:r>
    </w:p>
    <w:p w:rsidR="004F2C5F" w:rsidRDefault="004F2C5F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  <w:lang w:val="es-ES"/>
        </w:rPr>
      </w:pPr>
      <w:r w:rsidRPr="007C359B">
        <w:rPr>
          <w:rFonts w:ascii="Montserrat" w:hAnsi="Montserrat"/>
          <w:sz w:val="20"/>
          <w:szCs w:val="20"/>
          <w:lang w:val="es-ES"/>
        </w:rPr>
        <w:t>Características socioeconómicas o geográficas que debe tener una persona o grupo específico para que sea elegible y pueda recibir los beneficios de un programa social o acción (deberá tomarse del apartado FOCALIZACIÓN DE LOS RECURSOS de la presente estrategia).</w:t>
      </w:r>
    </w:p>
    <w:p w:rsidR="00F349C7" w:rsidRPr="007C359B" w:rsidRDefault="00F349C7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  <w:lang w:val="es-ES"/>
        </w:rPr>
      </w:pPr>
    </w:p>
    <w:p w:rsidR="004F2C5F" w:rsidRPr="007C359B" w:rsidRDefault="004F2C5F" w:rsidP="004F2C5F">
      <w:pPr>
        <w:pStyle w:val="texto0"/>
        <w:numPr>
          <w:ilvl w:val="1"/>
          <w:numId w:val="1"/>
        </w:numPr>
        <w:spacing w:after="120" w:line="276" w:lineRule="auto"/>
        <w:ind w:left="1152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Requisitos de selección de beneficiarios</w:t>
      </w:r>
    </w:p>
    <w:p w:rsidR="004F2C5F" w:rsidRPr="007C359B" w:rsidRDefault="004F2C5F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  <w:lang w:val="es-ES"/>
        </w:rPr>
      </w:pPr>
      <w:r w:rsidRPr="007C359B">
        <w:rPr>
          <w:rFonts w:ascii="Montserrat" w:hAnsi="Montserrat"/>
          <w:sz w:val="20"/>
          <w:szCs w:val="20"/>
          <w:lang w:val="es-ES"/>
        </w:rPr>
        <w:t>Refiere a la documentación necesaria para la comprobación de los criterios de elegibilidad definidos para una población objetivo específica.</w:t>
      </w:r>
    </w:p>
    <w:p w:rsidR="004F2C5F" w:rsidRPr="007C359B" w:rsidRDefault="004F2C5F" w:rsidP="004F2C5F">
      <w:pPr>
        <w:pStyle w:val="texto0"/>
        <w:numPr>
          <w:ilvl w:val="2"/>
          <w:numId w:val="1"/>
        </w:numPr>
        <w:spacing w:after="120" w:line="276" w:lineRule="auto"/>
        <w:ind w:left="1584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Métodos y/o procedimientos de selección</w:t>
      </w:r>
    </w:p>
    <w:p w:rsidR="004F2C5F" w:rsidRPr="007C359B" w:rsidRDefault="004F2C5F" w:rsidP="004F2C5F">
      <w:pPr>
        <w:pStyle w:val="texto0"/>
        <w:numPr>
          <w:ilvl w:val="1"/>
          <w:numId w:val="1"/>
        </w:numPr>
        <w:spacing w:after="120" w:line="276" w:lineRule="auto"/>
        <w:ind w:left="1152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Características de los apoyos</w:t>
      </w:r>
    </w:p>
    <w:p w:rsidR="004F2C5F" w:rsidRPr="007C359B" w:rsidRDefault="004F2C5F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Presentar esta información de manera simple y esquemática.</w:t>
      </w:r>
    </w:p>
    <w:p w:rsidR="004F2C5F" w:rsidRPr="007C359B" w:rsidRDefault="004F2C5F" w:rsidP="004F2C5F">
      <w:pPr>
        <w:pStyle w:val="texto0"/>
        <w:numPr>
          <w:ilvl w:val="2"/>
          <w:numId w:val="1"/>
        </w:numPr>
        <w:spacing w:after="120" w:line="276" w:lineRule="auto"/>
        <w:ind w:left="1584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Tipo de apoyo</w:t>
      </w:r>
    </w:p>
    <w:p w:rsidR="004F2C5F" w:rsidRDefault="004F2C5F" w:rsidP="004F2C5F">
      <w:pPr>
        <w:autoSpaceDE w:val="0"/>
        <w:autoSpaceDN w:val="0"/>
        <w:adjustRightInd w:val="0"/>
        <w:spacing w:line="276" w:lineRule="auto"/>
        <w:jc w:val="both"/>
        <w:rPr>
          <w:rFonts w:cs="Montserrat"/>
          <w:color w:val="000000"/>
          <w:szCs w:val="20"/>
        </w:rPr>
      </w:pPr>
      <w:r>
        <w:rPr>
          <w:rFonts w:cs="Montserrat"/>
          <w:color w:val="000000"/>
          <w:szCs w:val="20"/>
        </w:rPr>
        <w:t xml:space="preserve">Describir </w:t>
      </w:r>
      <w:r w:rsidRPr="00CA5DDA">
        <w:rPr>
          <w:rFonts w:cs="Montserrat"/>
          <w:color w:val="000000"/>
          <w:szCs w:val="20"/>
        </w:rPr>
        <w:t xml:space="preserve">los diferentes tipos </w:t>
      </w:r>
      <w:r>
        <w:rPr>
          <w:rFonts w:cs="Montserrat"/>
          <w:color w:val="000000"/>
          <w:szCs w:val="20"/>
        </w:rPr>
        <w:t xml:space="preserve">y modalidades </w:t>
      </w:r>
      <w:r w:rsidRPr="00CA5DDA">
        <w:rPr>
          <w:rFonts w:cs="Montserrat"/>
          <w:color w:val="000000"/>
          <w:szCs w:val="20"/>
        </w:rPr>
        <w:t>de apoyo que se otorga</w:t>
      </w:r>
      <w:r>
        <w:rPr>
          <w:rFonts w:cs="Montserrat"/>
          <w:color w:val="000000"/>
          <w:szCs w:val="20"/>
        </w:rPr>
        <w:t xml:space="preserve">n en el programa, según corresponda. </w:t>
      </w:r>
    </w:p>
    <w:p w:rsidR="004F2C5F" w:rsidRPr="00EE7D61" w:rsidRDefault="004F2C5F" w:rsidP="004F2C5F">
      <w:pPr>
        <w:autoSpaceDE w:val="0"/>
        <w:autoSpaceDN w:val="0"/>
        <w:adjustRightInd w:val="0"/>
        <w:spacing w:line="276" w:lineRule="auto"/>
        <w:jc w:val="both"/>
        <w:rPr>
          <w:rFonts w:cs="Montserrat"/>
          <w:color w:val="000000"/>
          <w:szCs w:val="20"/>
        </w:rPr>
      </w:pPr>
      <w:r w:rsidRPr="00EE7D61">
        <w:rPr>
          <w:rFonts w:cs="Montserrat"/>
          <w:color w:val="000000"/>
          <w:szCs w:val="20"/>
        </w:rPr>
        <w:t>En el programa Salud y Bienestar Comunitario, se debe considerar que el tipo de apoyo se otorgará mediante las siguientes dos modalidades:</w:t>
      </w:r>
    </w:p>
    <w:p w:rsidR="004F2C5F" w:rsidRPr="00EE7D61" w:rsidRDefault="004F2C5F" w:rsidP="004F2C5F">
      <w:pPr>
        <w:autoSpaceDE w:val="0"/>
        <w:autoSpaceDN w:val="0"/>
        <w:adjustRightInd w:val="0"/>
        <w:spacing w:line="276" w:lineRule="auto"/>
        <w:jc w:val="both"/>
        <w:rPr>
          <w:rFonts w:cs="Montserrat"/>
          <w:color w:val="000000"/>
          <w:szCs w:val="20"/>
        </w:rPr>
      </w:pPr>
      <w:r w:rsidRPr="00EE7D61">
        <w:rPr>
          <w:rFonts w:cs="Montserrat"/>
          <w:color w:val="000000"/>
          <w:szCs w:val="20"/>
        </w:rPr>
        <w:t>• Integración de un Programa de Trabajo Comunitario: Que implique la aplicación de capacidades para tomar control sobre los determinantes sociales que afectan su salud y bienestar comunitario.</w:t>
      </w:r>
    </w:p>
    <w:p w:rsidR="004F2C5F" w:rsidRPr="007C359B" w:rsidRDefault="004F2C5F" w:rsidP="004F2C5F">
      <w:pPr>
        <w:autoSpaceDE w:val="0"/>
        <w:autoSpaceDN w:val="0"/>
        <w:adjustRightInd w:val="0"/>
        <w:spacing w:line="276" w:lineRule="auto"/>
        <w:jc w:val="both"/>
      </w:pPr>
      <w:r w:rsidRPr="00EE7D61">
        <w:rPr>
          <w:rFonts w:cs="Montserrat"/>
          <w:color w:val="000000"/>
          <w:szCs w:val="20"/>
        </w:rPr>
        <w:t>• Detonar proyectos comunitarios, definiendo una Estrategia Anual de Inversión Comunitaria (EIAC) considerando los siguientes determinantes sociales de la salud.</w:t>
      </w:r>
    </w:p>
    <w:p w:rsidR="004F2C5F" w:rsidRPr="007C359B" w:rsidRDefault="004F2C5F" w:rsidP="004F2C5F">
      <w:pPr>
        <w:pStyle w:val="texto0"/>
        <w:numPr>
          <w:ilvl w:val="2"/>
          <w:numId w:val="1"/>
        </w:numPr>
        <w:spacing w:after="120" w:line="276" w:lineRule="auto"/>
        <w:ind w:left="1584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Unidad y periodicidad de los apoyos</w:t>
      </w:r>
    </w:p>
    <w:p w:rsidR="004F2C5F" w:rsidRPr="007C359B" w:rsidRDefault="004F2C5F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Conformación (cantidad) de apoyos por beneficiarios y periodicidad de la entrega.</w:t>
      </w:r>
    </w:p>
    <w:p w:rsidR="004F2C5F" w:rsidRDefault="004F2C5F" w:rsidP="004F2C5F">
      <w:pPr>
        <w:pStyle w:val="texto0"/>
        <w:numPr>
          <w:ilvl w:val="2"/>
          <w:numId w:val="1"/>
        </w:numPr>
        <w:spacing w:after="120" w:line="276" w:lineRule="auto"/>
        <w:ind w:left="1584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Criterios de selección para los insumos</w:t>
      </w:r>
    </w:p>
    <w:p w:rsidR="004F2C5F" w:rsidRPr="007C359B" w:rsidRDefault="004F2C5F" w:rsidP="004F2C5F">
      <w:pPr>
        <w:autoSpaceDE w:val="0"/>
        <w:autoSpaceDN w:val="0"/>
        <w:adjustRightInd w:val="0"/>
        <w:spacing w:line="276" w:lineRule="auto"/>
        <w:jc w:val="both"/>
      </w:pPr>
      <w:r w:rsidRPr="00DB10B9">
        <w:rPr>
          <w:rFonts w:cs="Montserrat"/>
          <w:color w:val="000000"/>
          <w:szCs w:val="20"/>
        </w:rPr>
        <w:t xml:space="preserve">Conjunto de </w:t>
      </w:r>
      <w:r>
        <w:rPr>
          <w:rFonts w:cs="Montserrat"/>
          <w:color w:val="000000"/>
          <w:szCs w:val="20"/>
        </w:rPr>
        <w:t>características y requisitos que los insumos y productos que compongan los tipos de apoyo de los programas alimentarios deben cumplir para ser considerados como componentes de los menús o dotaciones.</w:t>
      </w:r>
    </w:p>
    <w:p w:rsidR="004F2C5F" w:rsidRPr="007C359B" w:rsidRDefault="004F2C5F" w:rsidP="004F2C5F">
      <w:pPr>
        <w:pStyle w:val="texto0"/>
        <w:numPr>
          <w:ilvl w:val="1"/>
          <w:numId w:val="1"/>
        </w:numPr>
        <w:spacing w:after="120" w:line="276" w:lineRule="auto"/>
        <w:ind w:left="1152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Acciones transversales</w:t>
      </w:r>
    </w:p>
    <w:p w:rsidR="004F2C5F" w:rsidRDefault="004F2C5F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Las establecidas en el apartado 1.2 de la presente estrategia (Orientación y Educación Alimentaria, Aseguramiento de la Calidad e Innocuidad de los Alimentos; y Organización y participación comunitaria).</w:t>
      </w:r>
    </w:p>
    <w:p w:rsidR="00F349C7" w:rsidRDefault="00F349C7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</w:rPr>
      </w:pPr>
    </w:p>
    <w:p w:rsidR="00F349C7" w:rsidRDefault="00F349C7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</w:rPr>
      </w:pPr>
    </w:p>
    <w:p w:rsidR="00F349C7" w:rsidRDefault="00F349C7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</w:rPr>
      </w:pPr>
    </w:p>
    <w:p w:rsidR="00F349C7" w:rsidRPr="007C359B" w:rsidRDefault="00F349C7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</w:rPr>
      </w:pPr>
    </w:p>
    <w:p w:rsidR="004F2C5F" w:rsidRPr="007C359B" w:rsidRDefault="004F2C5F" w:rsidP="004F2C5F">
      <w:pPr>
        <w:pStyle w:val="texto0"/>
        <w:numPr>
          <w:ilvl w:val="1"/>
          <w:numId w:val="1"/>
        </w:numPr>
        <w:spacing w:after="120" w:line="276" w:lineRule="auto"/>
        <w:ind w:left="1152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  <w:lang w:val="es-ES"/>
        </w:rPr>
        <w:t>Derechos, obligaciones y sanciones</w:t>
      </w:r>
    </w:p>
    <w:p w:rsidR="004F2C5F" w:rsidRPr="007C359B" w:rsidRDefault="004F2C5F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  <w:lang w:val="es-ES"/>
        </w:rPr>
      </w:pPr>
      <w:r w:rsidRPr="007C359B">
        <w:rPr>
          <w:rFonts w:ascii="Montserrat" w:hAnsi="Montserrat"/>
          <w:sz w:val="20"/>
          <w:szCs w:val="20"/>
          <w:lang w:val="es-ES"/>
        </w:rPr>
        <w:t>Describe los derechos y compromisos que se adquieren al ser persona beneficiaria. Además, incluye las sanciones que se aplicarán en caso de incumplimiento de las obligaciones asumidas.</w:t>
      </w:r>
    </w:p>
    <w:p w:rsidR="004F2C5F" w:rsidRPr="007C359B" w:rsidRDefault="004F2C5F" w:rsidP="004F2C5F">
      <w:pPr>
        <w:pStyle w:val="texto0"/>
        <w:numPr>
          <w:ilvl w:val="0"/>
          <w:numId w:val="1"/>
        </w:numPr>
        <w:spacing w:after="120" w:line="276" w:lineRule="auto"/>
        <w:ind w:left="720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Instancias participantes</w:t>
      </w:r>
    </w:p>
    <w:p w:rsidR="004F2C5F" w:rsidRPr="007C359B" w:rsidRDefault="004F2C5F" w:rsidP="004F2C5F">
      <w:pPr>
        <w:pStyle w:val="texto0"/>
        <w:numPr>
          <w:ilvl w:val="1"/>
          <w:numId w:val="1"/>
        </w:numPr>
        <w:spacing w:after="120" w:line="276" w:lineRule="auto"/>
        <w:ind w:left="1152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  <w:lang w:val="es-ES"/>
        </w:rPr>
        <w:t>Instancias ejecutoras</w:t>
      </w:r>
    </w:p>
    <w:p w:rsidR="004F2C5F" w:rsidRDefault="004F2C5F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Identifica a las y los responsables de la ejecución del programa social, dependencias y entidades, así como sus unidades administrativas y/u organizaciones, (Los SEDIF en coordinación con los SMDIF).</w:t>
      </w:r>
    </w:p>
    <w:p w:rsidR="00F349C7" w:rsidRPr="007C359B" w:rsidRDefault="00F349C7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</w:rPr>
      </w:pPr>
    </w:p>
    <w:p w:rsidR="004F2C5F" w:rsidRPr="007C359B" w:rsidRDefault="004F2C5F" w:rsidP="004F2C5F">
      <w:pPr>
        <w:pStyle w:val="texto0"/>
        <w:numPr>
          <w:ilvl w:val="1"/>
          <w:numId w:val="1"/>
        </w:numPr>
        <w:spacing w:after="120" w:line="276" w:lineRule="auto"/>
        <w:ind w:left="1152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  <w:lang w:val="es-ES"/>
        </w:rPr>
        <w:t>Instancia normativa estatal</w:t>
      </w:r>
    </w:p>
    <w:p w:rsidR="004F2C5F" w:rsidRPr="007C359B" w:rsidRDefault="004F2C5F" w:rsidP="004F2C5F">
      <w:pPr>
        <w:pStyle w:val="texto0"/>
        <w:spacing w:after="120" w:line="276" w:lineRule="auto"/>
        <w:ind w:firstLine="0"/>
        <w:rPr>
          <w:rFonts w:ascii="Montserrat" w:hAnsi="Montserrat"/>
          <w:b/>
          <w:sz w:val="20"/>
          <w:szCs w:val="20"/>
          <w:lang w:val="es-ES"/>
        </w:rPr>
      </w:pPr>
      <w:r w:rsidRPr="007C359B">
        <w:rPr>
          <w:rFonts w:ascii="Montserrat" w:hAnsi="Montserrat"/>
          <w:sz w:val="20"/>
          <w:szCs w:val="20"/>
        </w:rPr>
        <w:t>S</w:t>
      </w:r>
      <w:proofErr w:type="spellStart"/>
      <w:r w:rsidRPr="007C359B">
        <w:rPr>
          <w:rFonts w:ascii="Montserrat" w:hAnsi="Montserrat"/>
          <w:sz w:val="20"/>
          <w:szCs w:val="20"/>
          <w:lang w:val="es-ES"/>
        </w:rPr>
        <w:t>eñala</w:t>
      </w:r>
      <w:proofErr w:type="spellEnd"/>
      <w:r w:rsidRPr="007C359B">
        <w:rPr>
          <w:rFonts w:ascii="Montserrat" w:hAnsi="Montserrat"/>
          <w:sz w:val="20"/>
          <w:szCs w:val="20"/>
          <w:lang w:val="es-ES"/>
        </w:rPr>
        <w:t xml:space="preserve"> la dependencia o entidad a la que le corresponde la definición de los aspectos que regulan la ejecución del programa social en el estado.</w:t>
      </w:r>
    </w:p>
    <w:p w:rsidR="004F2C5F" w:rsidRPr="007C359B" w:rsidRDefault="004F2C5F" w:rsidP="004F2C5F">
      <w:pPr>
        <w:pStyle w:val="texto0"/>
        <w:numPr>
          <w:ilvl w:val="1"/>
          <w:numId w:val="1"/>
        </w:numPr>
        <w:spacing w:after="120" w:line="276" w:lineRule="auto"/>
        <w:ind w:left="1152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Instancia normativa federal</w:t>
      </w:r>
    </w:p>
    <w:p w:rsidR="004F2C5F" w:rsidRPr="007C359B" w:rsidRDefault="004F2C5F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Señala la dependencia o entidad a la que le corresponde la definición de los aspectos que regulan la ejecución del programa social a nivel nacional (por tratarse de Recursos Federales, le corresponde al SNDIF a través de la Dirección General de Alimentación y Desarrollo Comunitario, por medio de la Estrategia Integral de Asistencia Social Alimentaria y Desarrollo Comunitario, con fundamento en la Estrategia Programática del FAM-AS del presupuesto de Egresos de la F</w:t>
      </w:r>
      <w:r>
        <w:rPr>
          <w:rFonts w:ascii="Montserrat" w:hAnsi="Montserrat"/>
          <w:sz w:val="20"/>
          <w:szCs w:val="20"/>
        </w:rPr>
        <w:t>ederación para el ejercicio 2021</w:t>
      </w:r>
      <w:r w:rsidRPr="007C359B">
        <w:rPr>
          <w:rFonts w:ascii="Montserrat" w:hAnsi="Montserrat"/>
          <w:sz w:val="20"/>
          <w:szCs w:val="20"/>
        </w:rPr>
        <w:t>).</w:t>
      </w:r>
    </w:p>
    <w:p w:rsidR="004F2C5F" w:rsidRPr="007C359B" w:rsidRDefault="004F2C5F" w:rsidP="004F2C5F">
      <w:pPr>
        <w:pStyle w:val="texto0"/>
        <w:numPr>
          <w:ilvl w:val="0"/>
          <w:numId w:val="1"/>
        </w:numPr>
        <w:spacing w:after="120" w:line="276" w:lineRule="auto"/>
        <w:ind w:left="720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Coordinación institucional</w:t>
      </w:r>
    </w:p>
    <w:p w:rsidR="004F2C5F" w:rsidRPr="007C359B" w:rsidRDefault="004F2C5F" w:rsidP="004F2C5F">
      <w:pPr>
        <w:pStyle w:val="Texto"/>
        <w:spacing w:after="120" w:line="276" w:lineRule="auto"/>
        <w:ind w:firstLine="0"/>
        <w:rPr>
          <w:rFonts w:ascii="Montserrat" w:hAnsi="Montserrat"/>
          <w:sz w:val="20"/>
        </w:rPr>
      </w:pPr>
      <w:r w:rsidRPr="007C359B">
        <w:rPr>
          <w:rFonts w:ascii="Montserrat" w:hAnsi="Montserrat"/>
          <w:sz w:val="20"/>
        </w:rPr>
        <w:t>Mecanismos de coordinación necesarios para garantizar que los programas sociales o acciones no se contrapongan, afecten o presenten duplicidades con otros.</w:t>
      </w:r>
    </w:p>
    <w:p w:rsidR="004F2C5F" w:rsidRPr="007C359B" w:rsidRDefault="004F2C5F" w:rsidP="004F2C5F">
      <w:pPr>
        <w:pStyle w:val="texto0"/>
        <w:numPr>
          <w:ilvl w:val="1"/>
          <w:numId w:val="1"/>
        </w:numPr>
        <w:spacing w:after="120" w:line="276" w:lineRule="auto"/>
        <w:ind w:left="1152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Convenios de colaboración</w:t>
      </w:r>
    </w:p>
    <w:p w:rsidR="004F2C5F" w:rsidRPr="007C359B" w:rsidRDefault="004F2C5F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Mecanismos de coordinación necesarios para las acciones de coordinación con los gobiernos municipales.</w:t>
      </w:r>
    </w:p>
    <w:p w:rsidR="004F2C5F" w:rsidRPr="007C359B" w:rsidRDefault="004F2C5F" w:rsidP="004F2C5F">
      <w:pPr>
        <w:pStyle w:val="texto0"/>
        <w:numPr>
          <w:ilvl w:val="1"/>
          <w:numId w:val="1"/>
        </w:numPr>
        <w:spacing w:after="120" w:line="276" w:lineRule="auto"/>
        <w:ind w:left="1152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Colaboración</w:t>
      </w:r>
    </w:p>
    <w:p w:rsidR="004F2C5F" w:rsidRPr="007C359B" w:rsidRDefault="004F2C5F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Establecer mecanismos de colaboración entre autoridades de los 3 niveles de gobierno para fortalecer el programa.</w:t>
      </w:r>
    </w:p>
    <w:p w:rsidR="004F2C5F" w:rsidRPr="007C359B" w:rsidRDefault="004F2C5F" w:rsidP="004F2C5F">
      <w:pPr>
        <w:pStyle w:val="texto0"/>
        <w:numPr>
          <w:ilvl w:val="2"/>
          <w:numId w:val="1"/>
        </w:numPr>
        <w:spacing w:after="120" w:line="276" w:lineRule="auto"/>
        <w:ind w:left="1584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Concurrencia</w:t>
      </w:r>
    </w:p>
    <w:p w:rsidR="004F2C5F" w:rsidRDefault="004F2C5F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Establecer la colaboración entre autoridades para la concurrencia de recursos federales provenientes de los fondos del Ramo General 33 en la entidad federativa.</w:t>
      </w:r>
    </w:p>
    <w:p w:rsidR="00F349C7" w:rsidRDefault="00F349C7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</w:rPr>
      </w:pPr>
    </w:p>
    <w:p w:rsidR="00F349C7" w:rsidRDefault="00F349C7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</w:rPr>
      </w:pPr>
    </w:p>
    <w:p w:rsidR="00F349C7" w:rsidRPr="007C359B" w:rsidRDefault="00F349C7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</w:rPr>
      </w:pPr>
    </w:p>
    <w:p w:rsidR="004F2C5F" w:rsidRPr="007C359B" w:rsidRDefault="004F2C5F" w:rsidP="004F2C5F">
      <w:pPr>
        <w:pStyle w:val="texto0"/>
        <w:numPr>
          <w:ilvl w:val="0"/>
          <w:numId w:val="1"/>
        </w:numPr>
        <w:spacing w:after="120" w:line="276" w:lineRule="auto"/>
        <w:ind w:left="720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Mecánica de Operación</w:t>
      </w:r>
    </w:p>
    <w:p w:rsidR="004F2C5F" w:rsidRPr="007C359B" w:rsidRDefault="004F2C5F" w:rsidP="004F2C5F">
      <w:pPr>
        <w:pStyle w:val="texto0"/>
        <w:numPr>
          <w:ilvl w:val="1"/>
          <w:numId w:val="1"/>
        </w:numPr>
        <w:spacing w:after="120" w:line="276" w:lineRule="auto"/>
        <w:ind w:left="1152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Proceso</w:t>
      </w:r>
    </w:p>
    <w:p w:rsidR="004F2C5F" w:rsidRPr="007C359B" w:rsidRDefault="004F2C5F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Es la descripción cronológica de las etapas que se deben seguir en la ejecución del programa identificando actores y tiempos. Describe de manera clara y precisa los pasos que sigue la o el beneficiario, y las instancias participantes, desde su solicitud de ingreso hasta que recibe el apoyo, y en su caso, la entrega de reportes sobre el ejercicio de apoyos recibidos.</w:t>
      </w:r>
    </w:p>
    <w:p w:rsidR="004F2C5F" w:rsidRPr="007C359B" w:rsidRDefault="004F2C5F" w:rsidP="004F2C5F">
      <w:pPr>
        <w:pStyle w:val="texto0"/>
        <w:numPr>
          <w:ilvl w:val="1"/>
          <w:numId w:val="1"/>
        </w:numPr>
        <w:spacing w:after="120" w:line="276" w:lineRule="auto"/>
        <w:ind w:left="648" w:firstLine="0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Ejecución</w:t>
      </w:r>
    </w:p>
    <w:p w:rsidR="004F2C5F" w:rsidRDefault="004F2C5F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Es la descripción del registro de operaciones como gastos de operación, avances físicos financieros, acta de entrega-recepción, en su caso, cierre del ejercicio y recursos no devengados.</w:t>
      </w:r>
    </w:p>
    <w:p w:rsidR="004F2C5F" w:rsidRDefault="004F2C5F" w:rsidP="004F2C5F">
      <w:pPr>
        <w:autoSpaceDE w:val="0"/>
        <w:autoSpaceDN w:val="0"/>
        <w:adjustRightInd w:val="0"/>
        <w:spacing w:line="276" w:lineRule="auto"/>
        <w:ind w:left="708"/>
        <w:jc w:val="both"/>
        <w:rPr>
          <w:rFonts w:cs="Montserrat"/>
          <w:b/>
          <w:bCs/>
          <w:color w:val="000000"/>
          <w:szCs w:val="20"/>
        </w:rPr>
      </w:pPr>
      <w:r>
        <w:rPr>
          <w:rFonts w:cs="Montserrat"/>
          <w:b/>
          <w:bCs/>
          <w:color w:val="000000"/>
          <w:szCs w:val="20"/>
        </w:rPr>
        <w:t>6.3 Causa de fuerza mayor</w:t>
      </w:r>
    </w:p>
    <w:p w:rsidR="004F2C5F" w:rsidRDefault="004F2C5F" w:rsidP="004F2C5F">
      <w:pPr>
        <w:autoSpaceDE w:val="0"/>
        <w:autoSpaceDN w:val="0"/>
        <w:adjustRightInd w:val="0"/>
        <w:spacing w:line="276" w:lineRule="auto"/>
        <w:jc w:val="both"/>
        <w:rPr>
          <w:rFonts w:cs="Montserrat"/>
          <w:color w:val="000000"/>
          <w:szCs w:val="20"/>
        </w:rPr>
      </w:pPr>
      <w:r>
        <w:rPr>
          <w:rFonts w:cs="Montserrat"/>
          <w:color w:val="000000"/>
          <w:szCs w:val="20"/>
        </w:rPr>
        <w:t>En este apartado se deben p</w:t>
      </w:r>
      <w:r w:rsidRPr="006E69D9">
        <w:rPr>
          <w:rFonts w:cs="Montserrat"/>
          <w:color w:val="000000"/>
          <w:szCs w:val="20"/>
        </w:rPr>
        <w:t>lantea</w:t>
      </w:r>
      <w:r>
        <w:rPr>
          <w:rFonts w:cs="Montserrat"/>
          <w:color w:val="000000"/>
          <w:szCs w:val="20"/>
        </w:rPr>
        <w:t>r los</w:t>
      </w:r>
      <w:r w:rsidRPr="006E69D9">
        <w:rPr>
          <w:rFonts w:cs="Montserrat"/>
          <w:color w:val="000000"/>
          <w:szCs w:val="20"/>
        </w:rPr>
        <w:t xml:space="preserve"> mecanismos de operación </w:t>
      </w:r>
      <w:r>
        <w:rPr>
          <w:rFonts w:cs="Montserrat"/>
          <w:color w:val="000000"/>
          <w:szCs w:val="20"/>
        </w:rPr>
        <w:t>en caso de ocurrir</w:t>
      </w:r>
      <w:r w:rsidRPr="006E69D9">
        <w:rPr>
          <w:rFonts w:cs="Montserrat"/>
          <w:color w:val="000000"/>
          <w:szCs w:val="20"/>
        </w:rPr>
        <w:t xml:space="preserve"> alguna situación </w:t>
      </w:r>
      <w:r>
        <w:rPr>
          <w:rFonts w:cs="Montserrat"/>
          <w:color w:val="000000"/>
          <w:szCs w:val="20"/>
        </w:rPr>
        <w:t xml:space="preserve">extraordinaria </w:t>
      </w:r>
      <w:r w:rsidRPr="006E69D9">
        <w:rPr>
          <w:rFonts w:cs="Montserrat"/>
          <w:color w:val="000000"/>
          <w:szCs w:val="20"/>
        </w:rPr>
        <w:t xml:space="preserve">que impida la operación </w:t>
      </w:r>
      <w:r>
        <w:rPr>
          <w:rFonts w:cs="Montserrat"/>
          <w:color w:val="000000"/>
          <w:szCs w:val="20"/>
        </w:rPr>
        <w:t>normal del programa (por ejemplo, la transferencia de recursos y/o apoyos entre los programas operados por el SEDIF).</w:t>
      </w:r>
    </w:p>
    <w:p w:rsidR="00F349C7" w:rsidRPr="007C359B" w:rsidRDefault="00F349C7" w:rsidP="004F2C5F">
      <w:pPr>
        <w:autoSpaceDE w:val="0"/>
        <w:autoSpaceDN w:val="0"/>
        <w:adjustRightInd w:val="0"/>
        <w:spacing w:line="276" w:lineRule="auto"/>
        <w:jc w:val="both"/>
      </w:pPr>
    </w:p>
    <w:p w:rsidR="004F2C5F" w:rsidRPr="007C359B" w:rsidRDefault="004F2C5F" w:rsidP="004F2C5F">
      <w:pPr>
        <w:pStyle w:val="texto0"/>
        <w:numPr>
          <w:ilvl w:val="0"/>
          <w:numId w:val="1"/>
        </w:numPr>
        <w:spacing w:after="120" w:line="276" w:lineRule="auto"/>
        <w:ind w:left="720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Evaluación</w:t>
      </w:r>
    </w:p>
    <w:p w:rsidR="004F2C5F" w:rsidRPr="007C359B" w:rsidRDefault="004F2C5F" w:rsidP="004F2C5F">
      <w:pPr>
        <w:pStyle w:val="ROMANOS"/>
        <w:spacing w:after="120" w:line="276" w:lineRule="auto"/>
        <w:ind w:left="22" w:firstLine="0"/>
      </w:pPr>
      <w:r w:rsidRPr="007C359B">
        <w:rPr>
          <w:rFonts w:ascii="Montserrat" w:hAnsi="Montserrat"/>
          <w:sz w:val="20"/>
          <w:szCs w:val="20"/>
        </w:rPr>
        <w:t>En el marco del Sistema de Evaluación del Desempeño (SED), en este apartado se deberán señalar los mecanismos de coordinación entre la unidad responsable y las áreas administrativas participantes para dar cumplimiento a las disposiciones normativas en materia de Evaluación.</w:t>
      </w:r>
    </w:p>
    <w:p w:rsidR="004F2C5F" w:rsidRPr="007C359B" w:rsidRDefault="004F2C5F" w:rsidP="004F2C5F">
      <w:pPr>
        <w:pStyle w:val="texto0"/>
        <w:numPr>
          <w:ilvl w:val="1"/>
          <w:numId w:val="1"/>
        </w:numPr>
        <w:spacing w:after="120" w:line="276" w:lineRule="auto"/>
        <w:ind w:left="648" w:firstLine="0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Seguimiento, control y auditoría</w:t>
      </w:r>
    </w:p>
    <w:p w:rsidR="004F2C5F" w:rsidRPr="007C359B" w:rsidRDefault="004F2C5F" w:rsidP="004F2C5F">
      <w:pPr>
        <w:pStyle w:val="texto0"/>
        <w:numPr>
          <w:ilvl w:val="2"/>
          <w:numId w:val="1"/>
        </w:numPr>
        <w:spacing w:after="120" w:line="276" w:lineRule="auto"/>
        <w:ind w:left="1584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Resultados y seguimiento</w:t>
      </w:r>
    </w:p>
    <w:p w:rsidR="004F2C5F" w:rsidRPr="007C359B" w:rsidRDefault="004F2C5F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En este apartado deberá incluirse lo referente al seguimiento físico y operativo de los programas de asistencia social, así como establecer la coordinación con las áreas y dependencias necesarias.</w:t>
      </w:r>
    </w:p>
    <w:p w:rsidR="004F2C5F" w:rsidRPr="007C359B" w:rsidRDefault="004F2C5F" w:rsidP="004F2C5F">
      <w:pPr>
        <w:pStyle w:val="texto0"/>
        <w:numPr>
          <w:ilvl w:val="2"/>
          <w:numId w:val="1"/>
        </w:numPr>
        <w:spacing w:after="120" w:line="276" w:lineRule="auto"/>
        <w:ind w:left="1584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Control y auditoría</w:t>
      </w:r>
    </w:p>
    <w:p w:rsidR="004F2C5F" w:rsidRPr="007C359B" w:rsidRDefault="004F2C5F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En este apartado deberá definirse la responsabilidad del programa para proporcionar a Instancias Fiscalizadoras la información necesaria para realizar, en el momento en que lo juzguen pertinente, las auditorías, revisiones o vi</w:t>
      </w:r>
      <w:r>
        <w:rPr>
          <w:rFonts w:ascii="Montserrat" w:hAnsi="Montserrat"/>
          <w:sz w:val="20"/>
          <w:szCs w:val="20"/>
        </w:rPr>
        <w:t>sitas de inspección de acuerdo con</w:t>
      </w:r>
      <w:r w:rsidRPr="007C359B">
        <w:rPr>
          <w:rFonts w:ascii="Montserrat" w:hAnsi="Montserrat"/>
          <w:sz w:val="20"/>
          <w:szCs w:val="20"/>
        </w:rPr>
        <w:t xml:space="preserve"> los programas anuales de auditorías o en el caso que juzgue pertinente; así como dar atención a las recomendaciones realizadas por dichas instancias.</w:t>
      </w:r>
    </w:p>
    <w:p w:rsidR="004F2C5F" w:rsidRPr="007C359B" w:rsidRDefault="004F2C5F" w:rsidP="004F2C5F">
      <w:pPr>
        <w:pStyle w:val="texto0"/>
        <w:numPr>
          <w:ilvl w:val="1"/>
          <w:numId w:val="1"/>
        </w:numPr>
        <w:spacing w:after="120" w:line="276" w:lineRule="auto"/>
        <w:ind w:left="648" w:firstLine="0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Información presupuestaria</w:t>
      </w:r>
    </w:p>
    <w:p w:rsidR="004F2C5F" w:rsidRDefault="004F2C5F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Enunciar el presupuesto asignado a cada programa en el Ejercicio Fiscal correspondiente.</w:t>
      </w:r>
    </w:p>
    <w:p w:rsidR="00012F9C" w:rsidRDefault="00012F9C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</w:rPr>
      </w:pPr>
    </w:p>
    <w:p w:rsidR="00012F9C" w:rsidRDefault="00012F9C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</w:rPr>
      </w:pPr>
    </w:p>
    <w:p w:rsidR="00012F9C" w:rsidRDefault="00012F9C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</w:rPr>
      </w:pPr>
    </w:p>
    <w:p w:rsidR="00012F9C" w:rsidRDefault="00012F9C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</w:rPr>
      </w:pPr>
    </w:p>
    <w:p w:rsidR="00012F9C" w:rsidRPr="007C359B" w:rsidRDefault="00012F9C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</w:rPr>
      </w:pPr>
    </w:p>
    <w:p w:rsidR="004F2C5F" w:rsidRPr="007C359B" w:rsidRDefault="004F2C5F" w:rsidP="004F2C5F">
      <w:pPr>
        <w:pStyle w:val="texto0"/>
        <w:numPr>
          <w:ilvl w:val="2"/>
          <w:numId w:val="1"/>
        </w:numPr>
        <w:spacing w:after="120" w:line="276" w:lineRule="auto"/>
        <w:ind w:left="1584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Avances físicos-financieros</w:t>
      </w:r>
    </w:p>
    <w:p w:rsidR="004F2C5F" w:rsidRPr="007C359B" w:rsidRDefault="004F2C5F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Establecer el mecanismo por el cual el SEDIF y el SMDIF se coordinan para informar a la instancia globalizadora, según corresponda.</w:t>
      </w:r>
    </w:p>
    <w:p w:rsidR="004F2C5F" w:rsidRPr="007C359B" w:rsidRDefault="004F2C5F" w:rsidP="004F2C5F">
      <w:pPr>
        <w:pStyle w:val="texto0"/>
        <w:numPr>
          <w:ilvl w:val="2"/>
          <w:numId w:val="1"/>
        </w:numPr>
        <w:spacing w:after="120" w:line="276" w:lineRule="auto"/>
        <w:ind w:left="1584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Cierre de ejercicio</w:t>
      </w:r>
    </w:p>
    <w:p w:rsidR="004F2C5F" w:rsidRPr="007C359B" w:rsidRDefault="004F2C5F" w:rsidP="004F2C5F">
      <w:pPr>
        <w:pStyle w:val="texto0"/>
        <w:spacing w:after="120" w:line="276" w:lineRule="auto"/>
        <w:ind w:firstLine="0"/>
        <w:rPr>
          <w:rFonts w:ascii="Montserrat" w:hAnsi="Montserrat"/>
          <w:sz w:val="20"/>
          <w:szCs w:val="20"/>
        </w:rPr>
      </w:pPr>
      <w:r>
        <w:rPr>
          <w:rFonts w:ascii="Montserrat" w:hAnsi="Montserrat" w:cs="Montserrat"/>
          <w:color w:val="000000"/>
          <w:sz w:val="20"/>
          <w:szCs w:val="20"/>
        </w:rPr>
        <w:t>Proceso y/o criterios</w:t>
      </w:r>
      <w:r w:rsidRPr="00CA5DDA">
        <w:rPr>
          <w:rFonts w:ascii="Montserrat" w:hAnsi="Montserrat" w:cs="Montserrat"/>
          <w:color w:val="000000"/>
          <w:sz w:val="20"/>
          <w:szCs w:val="20"/>
        </w:rPr>
        <w:t xml:space="preserve"> </w:t>
      </w:r>
      <w:r w:rsidRPr="007C359B">
        <w:rPr>
          <w:rFonts w:ascii="Montserrat" w:hAnsi="Montserrat"/>
          <w:sz w:val="20"/>
          <w:szCs w:val="20"/>
        </w:rPr>
        <w:t>para la realización del informe final del cierre del ejercicio,</w:t>
      </w:r>
      <w:r>
        <w:rPr>
          <w:rFonts w:ascii="Montserrat" w:hAnsi="Montserrat"/>
          <w:sz w:val="20"/>
          <w:szCs w:val="20"/>
        </w:rPr>
        <w:t xml:space="preserve"> </w:t>
      </w:r>
      <w:r w:rsidRPr="007C359B">
        <w:rPr>
          <w:rFonts w:ascii="Montserrat" w:hAnsi="Montserrat"/>
          <w:sz w:val="20"/>
          <w:szCs w:val="20"/>
        </w:rPr>
        <w:t>según corresponda.</w:t>
      </w:r>
    </w:p>
    <w:p w:rsidR="004F2C5F" w:rsidRPr="007C359B" w:rsidRDefault="004F2C5F" w:rsidP="004F2C5F">
      <w:pPr>
        <w:pStyle w:val="texto0"/>
        <w:numPr>
          <w:ilvl w:val="1"/>
          <w:numId w:val="1"/>
        </w:numPr>
        <w:spacing w:after="120" w:line="276" w:lineRule="auto"/>
        <w:ind w:left="648" w:firstLine="0"/>
        <w:rPr>
          <w:rFonts w:ascii="Montserrat" w:hAnsi="Montserrat"/>
          <w:b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Indicadores de Resultados</w:t>
      </w:r>
    </w:p>
    <w:p w:rsidR="004F2C5F" w:rsidRPr="007C359B" w:rsidRDefault="004F2C5F" w:rsidP="004F2C5F">
      <w:pPr>
        <w:pStyle w:val="texto0"/>
        <w:spacing w:after="120" w:line="276" w:lineRule="auto"/>
        <w:ind w:left="22"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sz w:val="20"/>
          <w:szCs w:val="20"/>
        </w:rPr>
        <w:t>La construcción de indicadores de resultados deberá estar siempre alineados a la MIR del FAM-AS.</w:t>
      </w:r>
    </w:p>
    <w:p w:rsidR="004F2C5F" w:rsidRPr="007C359B" w:rsidRDefault="004F2C5F" w:rsidP="004F2C5F">
      <w:pPr>
        <w:pStyle w:val="texto0"/>
        <w:numPr>
          <w:ilvl w:val="1"/>
          <w:numId w:val="1"/>
        </w:numPr>
        <w:spacing w:after="120" w:line="276" w:lineRule="auto"/>
        <w:ind w:left="648" w:firstLine="0"/>
        <w:rPr>
          <w:rFonts w:ascii="Montserrat" w:hAnsi="Montserrat"/>
          <w:sz w:val="20"/>
          <w:szCs w:val="20"/>
        </w:rPr>
      </w:pPr>
      <w:r w:rsidRPr="007C359B">
        <w:rPr>
          <w:rFonts w:ascii="Montserrat" w:hAnsi="Montserrat"/>
          <w:b/>
          <w:sz w:val="20"/>
          <w:szCs w:val="20"/>
        </w:rPr>
        <w:t>Transparencia</w:t>
      </w:r>
    </w:p>
    <w:p w:rsidR="004F2C5F" w:rsidRDefault="004F2C5F" w:rsidP="004F2C5F">
      <w:pPr>
        <w:autoSpaceDE w:val="0"/>
        <w:autoSpaceDN w:val="0"/>
        <w:adjustRightInd w:val="0"/>
        <w:spacing w:line="276" w:lineRule="auto"/>
        <w:jc w:val="both"/>
        <w:rPr>
          <w:rFonts w:cs="Montserrat"/>
          <w:color w:val="000000"/>
          <w:szCs w:val="20"/>
        </w:rPr>
      </w:pPr>
      <w:r w:rsidRPr="00CA5DDA">
        <w:rPr>
          <w:rFonts w:cs="Montserrat"/>
          <w:color w:val="000000"/>
          <w:szCs w:val="20"/>
        </w:rPr>
        <w:t xml:space="preserve">Acciones para dar a conocer públicamente información detallada del programa presupuestario. (Los montos y </w:t>
      </w:r>
      <w:r>
        <w:rPr>
          <w:rFonts w:cs="Montserrat"/>
          <w:color w:val="000000"/>
          <w:szCs w:val="20"/>
        </w:rPr>
        <w:t xml:space="preserve">padrones de </w:t>
      </w:r>
      <w:r w:rsidRPr="00CA5DDA">
        <w:rPr>
          <w:rFonts w:cs="Montserrat"/>
          <w:color w:val="000000"/>
          <w:szCs w:val="20"/>
        </w:rPr>
        <w:t xml:space="preserve">beneficiarios deberán ser publicados </w:t>
      </w:r>
      <w:r>
        <w:rPr>
          <w:rFonts w:cs="Montserrat"/>
          <w:color w:val="000000"/>
          <w:szCs w:val="20"/>
        </w:rPr>
        <w:t>en las páginas de internet del SEDIF, de acuerdo con lo dispuesto en el artículo 27, fracción II del Presupuesto de Egresos de la Federación 2021).</w:t>
      </w:r>
    </w:p>
    <w:p w:rsidR="004F2C5F" w:rsidRPr="007C359B" w:rsidRDefault="004F2C5F" w:rsidP="004F2C5F">
      <w:pPr>
        <w:pStyle w:val="Texto"/>
        <w:numPr>
          <w:ilvl w:val="2"/>
          <w:numId w:val="1"/>
        </w:numPr>
        <w:spacing w:after="120" w:line="276" w:lineRule="auto"/>
        <w:ind w:left="1584"/>
        <w:rPr>
          <w:rFonts w:ascii="Montserrat" w:hAnsi="Montserrat"/>
          <w:b/>
          <w:sz w:val="20"/>
        </w:rPr>
      </w:pPr>
      <w:r w:rsidRPr="007C359B">
        <w:rPr>
          <w:rFonts w:ascii="Montserrat" w:hAnsi="Montserrat"/>
          <w:b/>
          <w:sz w:val="20"/>
        </w:rPr>
        <w:t>Difusión</w:t>
      </w:r>
    </w:p>
    <w:p w:rsidR="004F2C5F" w:rsidRDefault="004F2C5F" w:rsidP="004F2C5F">
      <w:pPr>
        <w:spacing w:after="120" w:line="276" w:lineRule="auto"/>
        <w:ind w:right="49"/>
        <w:jc w:val="both"/>
        <w:rPr>
          <w:rFonts w:cs="Arial"/>
          <w:szCs w:val="20"/>
        </w:rPr>
      </w:pPr>
      <w:r w:rsidRPr="007C359B">
        <w:rPr>
          <w:rFonts w:cs="Arial"/>
          <w:szCs w:val="20"/>
        </w:rPr>
        <w:t>Se deberá indicar que la leyenda establecida en el Artículo</w:t>
      </w:r>
      <w:r>
        <w:rPr>
          <w:rFonts w:cs="Arial"/>
          <w:szCs w:val="20"/>
        </w:rPr>
        <w:t xml:space="preserve"> 27</w:t>
      </w:r>
      <w:r w:rsidRPr="007C359B">
        <w:rPr>
          <w:rFonts w:cs="Arial"/>
          <w:szCs w:val="20"/>
        </w:rPr>
        <w:t xml:space="preserve"> del Presupuesto de Egre</w:t>
      </w:r>
      <w:r>
        <w:rPr>
          <w:rFonts w:cs="Arial"/>
          <w:szCs w:val="20"/>
        </w:rPr>
        <w:t>sos de la Federación para el 2021</w:t>
      </w:r>
      <w:r w:rsidRPr="007C359B">
        <w:rPr>
          <w:rFonts w:cs="Arial"/>
          <w:szCs w:val="20"/>
        </w:rPr>
        <w:t xml:space="preserve"> ("Este programa es público, ajeno a cualquier partido político. Queda prohibido el uso para fines distintos a los establecidos en el programa").</w:t>
      </w:r>
    </w:p>
    <w:p w:rsidR="004F2C5F" w:rsidRPr="007C359B" w:rsidRDefault="004F2C5F" w:rsidP="004F2C5F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</w:rPr>
      </w:pPr>
      <w:r>
        <w:rPr>
          <w:rFonts w:cs="Montserrat"/>
          <w:color w:val="000000"/>
          <w:szCs w:val="20"/>
        </w:rPr>
        <w:t xml:space="preserve">Asimismo se debe considerar que de acuerdo con el mencionado artículo, fracción II, inciso a), segundo párrafo: </w:t>
      </w:r>
      <w:r w:rsidRPr="00387650">
        <w:rPr>
          <w:rFonts w:cs="Montserrat"/>
          <w:i/>
          <w:iCs/>
          <w:color w:val="000000"/>
          <w:szCs w:val="20"/>
        </w:rPr>
        <w:t>“Todo el gasto en comunicación social relacionado con la publicidad que se adquiera para estos programas, por parte de las Dependencias y Entidades, así como aquél relacionado con los recursos presupuestarios federales que se transfieran a las entidades federativas, municipios y las demarcaciones territoriales de la Ciudad de México, que se aplique a través de anuncios en medios electrónicos, impresos, complementarios o de cualquier otra índole, deberá señalar que se realiza con los recursos federales aprobados en este Presupuesto de Egresos”.</w:t>
      </w:r>
    </w:p>
    <w:p w:rsidR="004F2C5F" w:rsidRPr="007C359B" w:rsidRDefault="004F2C5F" w:rsidP="004F2C5F">
      <w:pPr>
        <w:pStyle w:val="Texto"/>
        <w:numPr>
          <w:ilvl w:val="1"/>
          <w:numId w:val="1"/>
        </w:numPr>
        <w:spacing w:after="120" w:line="276" w:lineRule="auto"/>
        <w:ind w:left="1152"/>
        <w:rPr>
          <w:rFonts w:ascii="Montserrat" w:hAnsi="Montserrat"/>
          <w:b/>
          <w:sz w:val="20"/>
        </w:rPr>
      </w:pPr>
      <w:r w:rsidRPr="007C359B">
        <w:rPr>
          <w:rFonts w:ascii="Montserrat" w:hAnsi="Montserrat"/>
          <w:b/>
          <w:sz w:val="20"/>
        </w:rPr>
        <w:t>Padrones de beneficiarios</w:t>
      </w:r>
    </w:p>
    <w:p w:rsidR="004F2C5F" w:rsidRPr="007C359B" w:rsidRDefault="004F2C5F" w:rsidP="004F2C5F">
      <w:pPr>
        <w:pStyle w:val="Texto"/>
        <w:spacing w:after="120" w:line="276" w:lineRule="auto"/>
        <w:ind w:firstLine="0"/>
        <w:rPr>
          <w:rFonts w:ascii="Montserrat" w:hAnsi="Montserrat"/>
          <w:sz w:val="20"/>
        </w:rPr>
      </w:pPr>
      <w:r w:rsidRPr="007C359B">
        <w:rPr>
          <w:rFonts w:ascii="Montserrat" w:hAnsi="Montserrat"/>
          <w:sz w:val="20"/>
        </w:rPr>
        <w:t>Criterios, mecánica y proceso para su elaboración (de acuerdo con el apartado padrones de la estrategia).</w:t>
      </w:r>
    </w:p>
    <w:p w:rsidR="004F2C5F" w:rsidRPr="007C359B" w:rsidRDefault="004F2C5F" w:rsidP="004F2C5F">
      <w:pPr>
        <w:pStyle w:val="Texto"/>
        <w:numPr>
          <w:ilvl w:val="0"/>
          <w:numId w:val="1"/>
        </w:numPr>
        <w:spacing w:after="120" w:line="276" w:lineRule="auto"/>
        <w:ind w:left="720"/>
        <w:rPr>
          <w:rFonts w:ascii="Montserrat" w:hAnsi="Montserrat"/>
          <w:b/>
          <w:sz w:val="20"/>
        </w:rPr>
      </w:pPr>
      <w:r w:rsidRPr="007C359B">
        <w:rPr>
          <w:rFonts w:ascii="Montserrat" w:hAnsi="Montserrat"/>
          <w:b/>
          <w:sz w:val="20"/>
        </w:rPr>
        <w:t>Quejas, denuncias y solicitudes de información</w:t>
      </w:r>
    </w:p>
    <w:p w:rsidR="004F2C5F" w:rsidRDefault="004F2C5F" w:rsidP="004F2C5F">
      <w:pPr>
        <w:spacing w:after="120" w:line="276" w:lineRule="auto"/>
        <w:ind w:right="49"/>
        <w:jc w:val="both"/>
        <w:rPr>
          <w:rFonts w:eastAsia="Times New Roman" w:cs="Arial"/>
          <w:szCs w:val="20"/>
          <w:lang w:val="es-ES" w:eastAsia="es-ES"/>
        </w:rPr>
      </w:pPr>
      <w:r w:rsidRPr="007C359B">
        <w:rPr>
          <w:rFonts w:eastAsia="Times New Roman" w:cs="Arial"/>
          <w:szCs w:val="20"/>
          <w:lang w:val="es-ES" w:eastAsia="es-ES"/>
        </w:rPr>
        <w:t>Establece mecanismos</w:t>
      </w:r>
      <w:r>
        <w:rPr>
          <w:rFonts w:eastAsia="Times New Roman" w:cs="Arial"/>
          <w:szCs w:val="20"/>
          <w:lang w:val="es-ES" w:eastAsia="es-ES"/>
        </w:rPr>
        <w:t xml:space="preserve"> y datos de contacto</w:t>
      </w:r>
      <w:r w:rsidRPr="007C359B">
        <w:rPr>
          <w:rFonts w:eastAsia="Times New Roman" w:cs="Arial"/>
          <w:szCs w:val="20"/>
          <w:lang w:val="es-ES" w:eastAsia="es-ES"/>
        </w:rPr>
        <w:t xml:space="preserve"> a través de los cuales la ciudadanía puede presentar quejas, denuncias y solicitudes de información o notificar posibles incumplimientos por parte de los funcionarios involucrados.</w:t>
      </w:r>
    </w:p>
    <w:p w:rsidR="00DA5DCC" w:rsidRDefault="00DA5DCC" w:rsidP="004F2C5F">
      <w:pPr>
        <w:spacing w:after="120" w:line="276" w:lineRule="auto"/>
        <w:ind w:right="49"/>
        <w:jc w:val="both"/>
        <w:rPr>
          <w:rFonts w:eastAsia="Times New Roman" w:cs="Arial"/>
          <w:szCs w:val="20"/>
          <w:lang w:val="es-ES" w:eastAsia="es-ES"/>
        </w:rPr>
      </w:pPr>
    </w:p>
    <w:p w:rsidR="00DA5DCC" w:rsidRDefault="00DA5DCC" w:rsidP="004F2C5F">
      <w:pPr>
        <w:spacing w:after="120" w:line="276" w:lineRule="auto"/>
        <w:ind w:right="49"/>
        <w:jc w:val="both"/>
        <w:rPr>
          <w:rFonts w:eastAsia="Times New Roman" w:cs="Arial"/>
          <w:szCs w:val="20"/>
          <w:lang w:val="es-ES" w:eastAsia="es-ES"/>
        </w:rPr>
      </w:pPr>
    </w:p>
    <w:p w:rsidR="00DA5DCC" w:rsidRDefault="00DA5DCC" w:rsidP="004F2C5F">
      <w:pPr>
        <w:spacing w:after="120" w:line="276" w:lineRule="auto"/>
        <w:ind w:right="49"/>
        <w:jc w:val="both"/>
        <w:rPr>
          <w:rFonts w:eastAsia="Times New Roman" w:cs="Arial"/>
          <w:szCs w:val="20"/>
          <w:lang w:val="es-ES" w:eastAsia="es-ES"/>
        </w:rPr>
      </w:pPr>
    </w:p>
    <w:p w:rsidR="00DA5DCC" w:rsidRPr="007C359B" w:rsidRDefault="00DA5DCC" w:rsidP="004F2C5F">
      <w:pPr>
        <w:spacing w:after="120" w:line="276" w:lineRule="auto"/>
        <w:ind w:right="49"/>
        <w:jc w:val="both"/>
        <w:rPr>
          <w:rFonts w:eastAsia="Times New Roman" w:cs="Arial"/>
          <w:szCs w:val="20"/>
          <w:lang w:val="es-ES" w:eastAsia="es-ES"/>
        </w:rPr>
      </w:pPr>
    </w:p>
    <w:p w:rsidR="004F2C5F" w:rsidRPr="007C359B" w:rsidRDefault="004F2C5F" w:rsidP="004F2C5F">
      <w:pPr>
        <w:tabs>
          <w:tab w:val="left" w:pos="8364"/>
        </w:tabs>
        <w:spacing w:after="120" w:line="276" w:lineRule="auto"/>
        <w:ind w:left="360" w:right="474"/>
        <w:jc w:val="both"/>
        <w:rPr>
          <w:rFonts w:cs="Arial"/>
          <w:szCs w:val="20"/>
        </w:rPr>
      </w:pPr>
      <w:r w:rsidRPr="007C359B">
        <w:rPr>
          <w:rFonts w:cs="Arial"/>
          <w:b/>
          <w:szCs w:val="20"/>
        </w:rPr>
        <w:t>ANEXOS</w:t>
      </w:r>
    </w:p>
    <w:p w:rsidR="004F2C5F" w:rsidRDefault="004F2C5F" w:rsidP="004F2C5F">
      <w:pPr>
        <w:spacing w:after="120" w:line="276" w:lineRule="auto"/>
        <w:jc w:val="both"/>
        <w:rPr>
          <w:rFonts w:cs="Arial"/>
          <w:szCs w:val="20"/>
        </w:rPr>
      </w:pPr>
      <w:r>
        <w:rPr>
          <w:rFonts w:eastAsia="Times New Roman" w:cs="Arial"/>
          <w:szCs w:val="20"/>
          <w:lang w:val="es-ES" w:eastAsia="es-ES"/>
        </w:rPr>
        <w:t>Se deben incluir las m</w:t>
      </w:r>
      <w:r w:rsidRPr="007C359B">
        <w:rPr>
          <w:rFonts w:eastAsia="Times New Roman" w:cs="Arial"/>
          <w:szCs w:val="20"/>
          <w:lang w:val="es-ES" w:eastAsia="es-ES"/>
        </w:rPr>
        <w:t>etodologías, procedimientos, manuales, formatos, modelos de convenio, convocatorias, diagramas de operación, esquema de contraloría social y cualquiera de naturaleza análoga.</w:t>
      </w:r>
    </w:p>
    <w:p w:rsidR="004F2C5F" w:rsidRDefault="004F2C5F" w:rsidP="004F2C5F">
      <w:pPr>
        <w:spacing w:after="120" w:line="276" w:lineRule="auto"/>
        <w:jc w:val="both"/>
        <w:rPr>
          <w:rFonts w:cs="Arial"/>
          <w:szCs w:val="20"/>
        </w:rPr>
      </w:pPr>
    </w:p>
    <w:p w:rsidR="004F2C5F" w:rsidRPr="004F2C5F" w:rsidRDefault="004F2C5F" w:rsidP="004F2C5F">
      <w:pPr>
        <w:spacing w:after="120" w:line="276" w:lineRule="auto"/>
        <w:jc w:val="both"/>
        <w:rPr>
          <w:rFonts w:cs="Arial"/>
          <w:color w:val="FF0000"/>
          <w:szCs w:val="20"/>
        </w:rPr>
      </w:pPr>
      <w:r w:rsidRPr="004F2C5F">
        <w:rPr>
          <w:rFonts w:cs="Arial"/>
          <w:color w:val="FF0000"/>
          <w:szCs w:val="20"/>
        </w:rPr>
        <w:t>Nota:</w:t>
      </w:r>
      <w:r w:rsidRPr="004F2C5F">
        <w:rPr>
          <w:rFonts w:cs="Montserrat"/>
          <w:i/>
          <w:color w:val="FF0000"/>
          <w:szCs w:val="20"/>
        </w:rPr>
        <w:t xml:space="preserve"> La propuesta de guion no es limitativa, deberá corresponder en principio con lo establecido en la Ley Federal de Presupuesto y Responsabilidad Hacendaria, así como en el Presupuesto de Egresos de la Federación, demás disposiciones federales aplicables, así como a la legislación estatal que corresponda.</w:t>
      </w:r>
    </w:p>
    <w:p w:rsidR="004F2C5F" w:rsidRPr="004F2C5F" w:rsidRDefault="004F2C5F">
      <w:pPr>
        <w:rPr>
          <w:color w:val="FF0000"/>
        </w:rPr>
      </w:pPr>
    </w:p>
    <w:sectPr w:rsidR="004F2C5F" w:rsidRPr="004F2C5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632A7" w:rsidRDefault="000632A7" w:rsidP="00F349C7">
      <w:pPr>
        <w:spacing w:after="0" w:line="240" w:lineRule="auto"/>
      </w:pPr>
      <w:r>
        <w:separator/>
      </w:r>
    </w:p>
  </w:endnote>
  <w:endnote w:type="continuationSeparator" w:id="0">
    <w:p w:rsidR="000632A7" w:rsidRDefault="000632A7" w:rsidP="00F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﷽﷽﷽﷽﷽﷽﷽﷽at Regular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632A7" w:rsidRDefault="000632A7" w:rsidP="00F349C7">
      <w:pPr>
        <w:spacing w:after="0" w:line="240" w:lineRule="auto"/>
      </w:pPr>
      <w:r>
        <w:separator/>
      </w:r>
    </w:p>
  </w:footnote>
  <w:footnote w:type="continuationSeparator" w:id="0">
    <w:p w:rsidR="000632A7" w:rsidRDefault="000632A7" w:rsidP="00F3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49C7" w:rsidRDefault="00F349C7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1EB780BB" wp14:editId="00D2410E">
          <wp:simplePos x="0" y="0"/>
          <wp:positionH relativeFrom="margin">
            <wp:posOffset>-894715</wp:posOffset>
          </wp:positionH>
          <wp:positionV relativeFrom="margin">
            <wp:posOffset>-912819</wp:posOffset>
          </wp:positionV>
          <wp:extent cx="7772953" cy="101232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bretad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53" cy="101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906B6A"/>
    <w:multiLevelType w:val="multilevel"/>
    <w:tmpl w:val="17CC32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5F"/>
    <w:rsid w:val="00012F9C"/>
    <w:rsid w:val="00040058"/>
    <w:rsid w:val="000632A7"/>
    <w:rsid w:val="004F2C5F"/>
    <w:rsid w:val="00717A40"/>
    <w:rsid w:val="00AB18E8"/>
    <w:rsid w:val="00D8483B"/>
    <w:rsid w:val="00DA5DCC"/>
    <w:rsid w:val="00F3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75A1"/>
  <w15:chartTrackingRefBased/>
  <w15:docId w15:val="{AB2CC4AA-6AF4-4935-80B5-532EE0DF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5F"/>
    <w:rPr>
      <w:rFonts w:ascii="Montserrat" w:hAnsi="Montserrat"/>
      <w:sz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2C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2DIF">
    <w:name w:val="Titulo 2 DIF"/>
    <w:basedOn w:val="Ttulo2"/>
    <w:link w:val="Titulo2DIFCar"/>
    <w:autoRedefine/>
    <w:qFormat/>
    <w:rsid w:val="004F2C5F"/>
    <w:pPr>
      <w:spacing w:before="0" w:after="120" w:line="276" w:lineRule="auto"/>
    </w:pPr>
    <w:rPr>
      <w:rFonts w:ascii="Montserrat" w:eastAsia="Calibri" w:hAnsi="Montserrat"/>
      <w:b/>
      <w:color w:val="820000"/>
      <w:sz w:val="20"/>
    </w:rPr>
  </w:style>
  <w:style w:type="character" w:customStyle="1" w:styleId="Titulo2DIFCar">
    <w:name w:val="Titulo 2 DIF Car"/>
    <w:basedOn w:val="Ttulo2Car"/>
    <w:link w:val="Titulo2DIF"/>
    <w:rsid w:val="004F2C5F"/>
    <w:rPr>
      <w:rFonts w:ascii="Montserrat" w:eastAsia="Calibri" w:hAnsi="Montserrat" w:cstheme="majorBidi"/>
      <w:b/>
      <w:color w:val="820000"/>
      <w:sz w:val="20"/>
      <w:szCs w:val="26"/>
    </w:rPr>
  </w:style>
  <w:style w:type="paragraph" w:customStyle="1" w:styleId="Texto">
    <w:name w:val="Texto"/>
    <w:basedOn w:val="Normal"/>
    <w:link w:val="TextoCar"/>
    <w:rsid w:val="004F2C5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4F2C5F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4F2C5F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4F2C5F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4F2C5F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F2C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F34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49C7"/>
    <w:rPr>
      <w:rFonts w:ascii="Montserrat" w:hAnsi="Montserrat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F349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9C7"/>
    <w:rPr>
      <w:rFonts w:ascii="Montserrat" w:hAnsi="Montserra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1469</Words>
  <Characters>8083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Antonio Meza Duran</dc:creator>
  <cp:keywords/>
  <dc:description/>
  <cp:lastModifiedBy>Microsoft Office User</cp:lastModifiedBy>
  <cp:revision>4</cp:revision>
  <dcterms:created xsi:type="dcterms:W3CDTF">2021-01-08T00:50:00Z</dcterms:created>
  <dcterms:modified xsi:type="dcterms:W3CDTF">2021-01-11T21:11:00Z</dcterms:modified>
</cp:coreProperties>
</file>