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99" w:rsidRDefault="001C7A99" w:rsidP="00EF54D9">
      <w:pPr>
        <w:pStyle w:val="texto0"/>
        <w:spacing w:after="120" w:line="276" w:lineRule="auto"/>
        <w:ind w:left="360" w:firstLine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Reglas de Operación</w:t>
      </w:r>
      <w:bookmarkStart w:id="0" w:name="_GoBack"/>
      <w:bookmarkEnd w:id="0"/>
    </w:p>
    <w:p w:rsidR="001C7A99" w:rsidRDefault="001C7A99" w:rsidP="00EF54D9">
      <w:pPr>
        <w:pStyle w:val="texto0"/>
        <w:spacing w:after="120" w:line="276" w:lineRule="auto"/>
        <w:ind w:left="360" w:firstLine="0"/>
        <w:rPr>
          <w:rFonts w:ascii="Montserrat" w:hAnsi="Montserrat"/>
          <w:b/>
          <w:sz w:val="20"/>
          <w:szCs w:val="20"/>
        </w:rPr>
      </w:pP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CONSIDERANDOS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Introducción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  <w:lang w:val="es-MX"/>
        </w:rPr>
        <w:t>(</w:t>
      </w:r>
      <w:r w:rsidRPr="007C359B">
        <w:rPr>
          <w:rFonts w:ascii="Montserrat" w:hAnsi="Montserrat"/>
          <w:sz w:val="20"/>
        </w:rPr>
        <w:t>Breve descripción del programa, indicando por qué y para qué existe y a quién va dirigido. Este apartado deberá resumir la problemática planteada en el diagnóstico y describir la forma en que el problema afecta a hombres y mujeres. Además, debe incluir la alineación a los objetivos sectoriales, nacionales y demás compromisos asumidos a nivel internacional por el país, así como indicar la vigencia de las ROP).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Antecedentes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Glosario de términos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Glosario de términos con la descripción clara y utilizando lenguaje de fácil entendimiento para cualquier persona.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Objetivo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Objetivo general para cada programa (véase objetivo específico de cada programa en la presente estrategia).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Objetivos específicos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sz w:val="20"/>
        </w:rPr>
        <w:t>Objetivos específicos para cada programa (cuando menos deberán encontrarse los establecidos en la sección “objetivos particulares” de cada programa en la presente estrategia).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Lineamientos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Cobertura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Ámbito geográfico de aplicación del programa, (indicar, en su caso, las características de las regiones, municipios o localidades).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Población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Población potencial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Población objetivo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Grupo específico de personas que un programa tiene planeado o programado atender y que cumple con los criterios de elegibilidad establecidos en su normatividad (deberá tomarse de la sección, población objetivo de cada programa).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Criterios de focalización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Características socioeconómicas o geográficas que debe tener una persona o grupo específico para que sea elegible y pueda recibir los beneficios de un programa social o acción (deberá tomarse del apartado FOCALIZACIÓN DE LOS RECURSOS de la presente estrategia).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Requisitos de selección de beneficiarios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lastRenderedPageBreak/>
        <w:t>Refiere a la documentación necesaria para la comprobación de los criterios de elegibilidad definidos para una población objetivo específica.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Métodos y/o procedimientos de selección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Características de los apoyos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Presentar esta información de manera simple y esquemática.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Tipo de apoyo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Define los diferentes tipos de apoyo que se otorgan.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Unidad y periodicidad de los apoyos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Conformación (cantidad) de apoyos por beneficiarios y periodicidad de la entrega.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Criterios de selección para los insumos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Acciones transversales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Las establecidas en el apartado 1.2 de la presente estrategia (Orientación y Educación Alimentaria, Aseguramiento de la Calidad e Innocuidad de los Alimentos; y Organización y participación comunitaria).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Derechos, obligaciones y sanciones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Describe los derechos y compromisos que se adquieren al ser persona beneficiaria. Además, incluye las sanciones que se aplicarán en caso de incumplimiento de las obligaciones asumidas.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Instancias participantes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Instancias ejecutoras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Identifica a las y los responsables de la ejecución del programa social, dependencias y entidades, así como sus unidades administrativas y/u organizaciones, (Los SEDIF en coordinación con los SMDIF).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Instancia normativa estatal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b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</w:rPr>
        <w:t>S</w:t>
      </w:r>
      <w:proofErr w:type="spellStart"/>
      <w:r w:rsidRPr="007C359B">
        <w:rPr>
          <w:rFonts w:ascii="Montserrat" w:hAnsi="Montserrat"/>
          <w:sz w:val="20"/>
          <w:szCs w:val="20"/>
          <w:lang w:val="es-ES"/>
        </w:rPr>
        <w:t>eñala</w:t>
      </w:r>
      <w:proofErr w:type="spellEnd"/>
      <w:r w:rsidRPr="007C359B">
        <w:rPr>
          <w:rFonts w:ascii="Montserrat" w:hAnsi="Montserrat"/>
          <w:sz w:val="20"/>
          <w:szCs w:val="20"/>
          <w:lang w:val="es-ES"/>
        </w:rPr>
        <w:t xml:space="preserve"> la dependencia o entidad a la que le corresponde la definición de los aspectos que regulan la ejecución del programa social en el estado.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Instancia normativa federal</w:t>
      </w:r>
    </w:p>
    <w:p w:rsidR="00EF54D9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Señala la dependencia o entidad a la que le corresponde la definición de los aspectos que regulan la ejecución del programa social a nivel nacional (por tratarse de Recursos Federales, le corresponde al SNDIF a través de la Dirección General de Alimentación y Desarrollo Comunitario, por medio de la Estrategia Integral de Asistencia Social Alimentaria y Desarrollo Comunitario, con fundamento en la Estrategia Programática del FAM-AS del presupuesto de Egresos de la Federación para el ejercicio 2020).</w:t>
      </w:r>
    </w:p>
    <w:p w:rsidR="00EF54D9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Coordinación institucional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lastRenderedPageBreak/>
        <w:t>Mecanismos de coordinación necesarios para garantizar que los programas sociales o acciones no se contrapongan, afecten o presenten duplicidades con otros.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Convenios de colaboración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Mecanismos de coordinación necesarios para las acciones de coordinación con los gobiernos municipales.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Colaboración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mecanismos de colaboración entre autoridades de los 3 niveles de gobierno para fortalecer el programa.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Concurrencia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la colaboración entre autoridades para la concurrencia de recursos federales provenientes de los fondos del Ramo General 33 en la entidad federativa.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Mecánica de Operación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Proceso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 la descripción cronológica de las etapas que se deben seguir en la ejecución del programa identificando actores y tiempos. Describe de manera clara y precisa los pasos que sigue la o el beneficiario, y las instancias participantes, desde su solicitud de ingreso hasta que recibe el apoyo, y en su caso, la entrega de reportes sobre el ejercicio de apoyos recibidos.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Ejecución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 la descripción del registro de operaciones como gastos de operación, avances físicos financieros, acta de entrega-recepción, en su caso, cierre del ejercicio y recursos no devengados.</w:t>
      </w:r>
    </w:p>
    <w:p w:rsidR="00EF54D9" w:rsidRPr="007C359B" w:rsidRDefault="00EF54D9" w:rsidP="00EF54D9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Evaluación</w:t>
      </w:r>
    </w:p>
    <w:p w:rsidR="00EF54D9" w:rsidRPr="007C359B" w:rsidRDefault="00EF54D9" w:rsidP="00EF54D9">
      <w:pPr>
        <w:pStyle w:val="ROMANOS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 el marco del Sistema de Evaluación del Desempeño (SED), en este apartado se deberán señalar los mecanismos de coordinación entre la unidad responsable y las áreas administrativas participantes para dar cumplimiento a las disposiciones normativas en materia de Evaluación.</w:t>
      </w:r>
    </w:p>
    <w:p w:rsidR="00EF54D9" w:rsidRPr="007C359B" w:rsidRDefault="00EF54D9" w:rsidP="00EF54D9">
      <w:pPr>
        <w:pStyle w:val="texto0"/>
        <w:spacing w:after="120" w:line="276" w:lineRule="auto"/>
        <w:ind w:left="315" w:firstLine="0"/>
        <w:rPr>
          <w:rFonts w:ascii="Montserrat" w:hAnsi="Montserrat"/>
          <w:b/>
          <w:sz w:val="20"/>
          <w:szCs w:val="20"/>
          <w:lang w:val="es-ES"/>
        </w:rPr>
      </w:pP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Seguimiento, control y auditoría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Resultados y seguimiento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 este apartado deberá incluirse lo referente al seguimiento físico y operativo de los programas de asistencia social, así como establecer la coordinación con las áreas y dependencias necesarias.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Control y auditoría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 xml:space="preserve">En este apartado deberá definirse la responsabilidad del programa para proporcionar a Instancias Fiscalizadoras la información necesaria para realizar, en el momento en que lo juzguen pertinente, las auditorías, revisiones o visitas de inspección de acuerdo </w:t>
      </w:r>
      <w:r w:rsidRPr="007C359B">
        <w:rPr>
          <w:rFonts w:ascii="Montserrat" w:hAnsi="Montserrat"/>
          <w:sz w:val="20"/>
          <w:szCs w:val="20"/>
        </w:rPr>
        <w:lastRenderedPageBreak/>
        <w:t>a los programas anuales de auditorías o en el caso que juzgue pertinente; así como dar atención a las recomendaciones realizadas por dichas instancias.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Información presupuestaria</w:t>
      </w:r>
    </w:p>
    <w:p w:rsidR="00EF54D9" w:rsidRPr="007C359B" w:rsidRDefault="00EF54D9" w:rsidP="00EF54D9">
      <w:pPr>
        <w:pStyle w:val="texto0"/>
        <w:spacing w:after="120" w:line="276" w:lineRule="auto"/>
        <w:ind w:left="313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Enunciar el presupuesto asignado a cada programa en el Ejercicio Fiscal correspondiente.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Avances físicos-financieros</w:t>
      </w:r>
    </w:p>
    <w:p w:rsidR="00EF54D9" w:rsidRPr="007C359B" w:rsidRDefault="00EF54D9" w:rsidP="00EF54D9">
      <w:pPr>
        <w:pStyle w:val="texto0"/>
        <w:spacing w:after="120" w:line="276" w:lineRule="auto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el mecanismo por el cual el SEDIF y el SMDIF se coordinan para informar a la instancia globalizadora, según corresponda.</w:t>
      </w:r>
    </w:p>
    <w:p w:rsidR="00EF54D9" w:rsidRPr="007C359B" w:rsidRDefault="00EF54D9" w:rsidP="00EF54D9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Cierre de ejercicio</w:t>
      </w:r>
    </w:p>
    <w:p w:rsidR="00EF54D9" w:rsidRPr="007C359B" w:rsidRDefault="00EF54D9" w:rsidP="00EF54D9">
      <w:pPr>
        <w:pStyle w:val="texto0"/>
        <w:spacing w:after="120" w:line="276" w:lineRule="auto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Lineamientos para la realización del informe final del cierre del ejercicio, según corresponda.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Indicadores de Resultados</w:t>
      </w:r>
    </w:p>
    <w:p w:rsidR="00EF54D9" w:rsidRPr="007C359B" w:rsidRDefault="00EF54D9" w:rsidP="00EF54D9">
      <w:pPr>
        <w:pStyle w:val="texto0"/>
        <w:spacing w:after="120" w:line="276" w:lineRule="auto"/>
        <w:ind w:left="648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La construcción de indicadores de resultados deberá estar siempre alineados a la MIR del FAM-AS.</w:t>
      </w:r>
    </w:p>
    <w:p w:rsidR="00EF54D9" w:rsidRPr="007C359B" w:rsidRDefault="00EF54D9" w:rsidP="00EF54D9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Transparencia</w:t>
      </w:r>
    </w:p>
    <w:p w:rsidR="00EF54D9" w:rsidRPr="007C359B" w:rsidRDefault="00EF54D9" w:rsidP="00EF54D9">
      <w:pPr>
        <w:pStyle w:val="texto0"/>
        <w:spacing w:after="120" w:line="276" w:lineRule="auto"/>
        <w:ind w:left="360"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Acciones para dar a conocer públicamente información detallada del programa presupuestario. (Los montos y beneficiarios deberán ser publicados en los términos de la Ley Federal de Transparencia y Acceso a la Información Pública y la Ley General de Protección de Datos Personales en Posesión de Sujetos Obligados.</w:t>
      </w:r>
    </w:p>
    <w:p w:rsidR="00EF54D9" w:rsidRPr="007C359B" w:rsidRDefault="00EF54D9" w:rsidP="00EF54D9">
      <w:pPr>
        <w:pStyle w:val="Texto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Difusión</w:t>
      </w:r>
    </w:p>
    <w:p w:rsidR="00EF54D9" w:rsidRPr="007C359B" w:rsidRDefault="00EF54D9" w:rsidP="00EF54D9">
      <w:pPr>
        <w:spacing w:after="120" w:line="276" w:lineRule="auto"/>
        <w:ind w:left="360" w:right="49"/>
        <w:jc w:val="both"/>
        <w:rPr>
          <w:rFonts w:ascii="Montserrat" w:hAnsi="Montserrat" w:cs="Arial"/>
          <w:szCs w:val="20"/>
        </w:rPr>
      </w:pPr>
      <w:r w:rsidRPr="007C359B">
        <w:rPr>
          <w:rFonts w:ascii="Montserrat" w:hAnsi="Montserrat" w:cs="Arial"/>
          <w:szCs w:val="20"/>
        </w:rPr>
        <w:t>Se deberá indicar que la leyenda establecida en el Articulo 29 del Presupuesto de Egresos de la Federación para el 2020 ("Este programa es público, ajeno a cualquier partido político. Queda prohibido el uso para fines distintos a los establecidos en el programa").</w:t>
      </w:r>
    </w:p>
    <w:p w:rsidR="00EF54D9" w:rsidRPr="007C359B" w:rsidRDefault="00EF54D9" w:rsidP="00EF54D9">
      <w:pPr>
        <w:pStyle w:val="Texto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Padrones de beneficiarios</w:t>
      </w:r>
    </w:p>
    <w:p w:rsidR="00EF54D9" w:rsidRPr="007C359B" w:rsidRDefault="00EF54D9" w:rsidP="00EF54D9">
      <w:pPr>
        <w:pStyle w:val="Texto"/>
        <w:spacing w:after="120" w:line="276" w:lineRule="auto"/>
        <w:ind w:left="360"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Criterios, mecánica y proceso para su elaboración e integración al SIIPP-G (de acuerdo con el apartado padrones de la estrategia).</w:t>
      </w:r>
    </w:p>
    <w:p w:rsidR="00EF54D9" w:rsidRPr="007C359B" w:rsidRDefault="00EF54D9" w:rsidP="00EF54D9">
      <w:pPr>
        <w:pStyle w:val="Texto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Quejas, denuncias y solicitudes de información</w:t>
      </w:r>
    </w:p>
    <w:p w:rsidR="00EF54D9" w:rsidRPr="007C359B" w:rsidRDefault="00EF54D9" w:rsidP="00EF54D9">
      <w:pPr>
        <w:spacing w:after="120" w:line="276" w:lineRule="auto"/>
        <w:ind w:left="360" w:right="49"/>
        <w:jc w:val="both"/>
        <w:rPr>
          <w:rFonts w:ascii="Montserrat" w:eastAsia="Times New Roman" w:hAnsi="Montserrat" w:cs="Arial"/>
          <w:szCs w:val="20"/>
          <w:lang w:val="es-ES" w:eastAsia="es-ES"/>
        </w:rPr>
      </w:pPr>
      <w:r w:rsidRPr="007C359B">
        <w:rPr>
          <w:rFonts w:ascii="Montserrat" w:eastAsia="Times New Roman" w:hAnsi="Montserrat" w:cs="Arial"/>
          <w:szCs w:val="20"/>
          <w:lang w:val="es-ES" w:eastAsia="es-ES"/>
        </w:rPr>
        <w:t>Establece mecanismos a través de los cuales la ciudadanía puede presentar quejas, denuncias y solicitudes de información o notificar posibles incumplimientos por parte de los funcionarios involucrados.</w:t>
      </w:r>
    </w:p>
    <w:p w:rsidR="00EF54D9" w:rsidRPr="007C359B" w:rsidRDefault="00EF54D9" w:rsidP="00EF54D9">
      <w:pPr>
        <w:tabs>
          <w:tab w:val="left" w:pos="8364"/>
        </w:tabs>
        <w:spacing w:after="120" w:line="276" w:lineRule="auto"/>
        <w:ind w:left="360" w:right="474"/>
        <w:jc w:val="both"/>
        <w:rPr>
          <w:rFonts w:ascii="Montserrat" w:hAnsi="Montserrat" w:cs="Arial"/>
          <w:szCs w:val="20"/>
        </w:rPr>
      </w:pPr>
      <w:r w:rsidRPr="007C359B">
        <w:rPr>
          <w:rFonts w:ascii="Montserrat" w:hAnsi="Montserrat" w:cs="Arial"/>
          <w:b/>
          <w:szCs w:val="20"/>
        </w:rPr>
        <w:t>ANEXOS</w:t>
      </w:r>
    </w:p>
    <w:p w:rsidR="00EF54D9" w:rsidRDefault="00EF54D9" w:rsidP="00EF54D9">
      <w:pPr>
        <w:spacing w:after="120" w:line="276" w:lineRule="auto"/>
        <w:jc w:val="both"/>
        <w:rPr>
          <w:rFonts w:ascii="Montserrat" w:eastAsia="Times New Roman" w:hAnsi="Montserrat" w:cs="Arial"/>
          <w:szCs w:val="20"/>
          <w:lang w:val="es-ES" w:eastAsia="es-ES"/>
        </w:rPr>
      </w:pPr>
      <w:r w:rsidRPr="007C359B">
        <w:rPr>
          <w:rFonts w:ascii="Montserrat" w:eastAsia="Times New Roman" w:hAnsi="Montserrat" w:cs="Arial"/>
          <w:szCs w:val="20"/>
          <w:lang w:val="es-ES" w:eastAsia="es-ES"/>
        </w:rPr>
        <w:t>Metodologías, procedimientos, manuales, formatos, modelos de convenio, convocatorias, diagramas de operación, esquema de contraloría social y cualquiera de naturaleza análoga.</w:t>
      </w:r>
    </w:p>
    <w:p w:rsidR="00EF54D9" w:rsidRDefault="00EF54D9" w:rsidP="00EF54D9">
      <w:pPr>
        <w:spacing w:after="120" w:line="276" w:lineRule="auto"/>
        <w:jc w:val="both"/>
        <w:rPr>
          <w:rFonts w:ascii="Montserrat" w:hAnsi="Montserrat" w:cs="Arial"/>
          <w:i/>
          <w:color w:val="FF0000"/>
          <w:szCs w:val="20"/>
        </w:rPr>
      </w:pPr>
    </w:p>
    <w:p w:rsidR="0072578A" w:rsidRPr="00EF54D9" w:rsidRDefault="009D6D7C" w:rsidP="009D6D7C">
      <w:pPr>
        <w:spacing w:after="120" w:line="276" w:lineRule="auto"/>
        <w:jc w:val="both"/>
        <w:rPr>
          <w:i/>
          <w:color w:val="FF0000"/>
        </w:rPr>
      </w:pPr>
      <w:r w:rsidRPr="00EF54D9">
        <w:rPr>
          <w:rFonts w:ascii="Montserrat" w:hAnsi="Montserrat" w:cs="Arial"/>
          <w:i/>
          <w:color w:val="FF0000"/>
          <w:szCs w:val="20"/>
        </w:rPr>
        <w:lastRenderedPageBreak/>
        <w:t>Nota: La propuesta de guion no es limitativa, deberá corresponder en principio con lo establecido en la Ley Federal de Presupuesto y Responsabilidad Hacendaria, así como en el Presupuesto de Egresos de la Federación, demás disposiciones federales aplicables, y en segundo lugar a la legislación estatal que corresponda.</w:t>
      </w:r>
    </w:p>
    <w:sectPr w:rsidR="0072578A" w:rsidRPr="00EF5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6B6A"/>
    <w:multiLevelType w:val="multilevel"/>
    <w:tmpl w:val="17CC3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7C"/>
    <w:rsid w:val="001C7A99"/>
    <w:rsid w:val="0040573E"/>
    <w:rsid w:val="007B1E5D"/>
    <w:rsid w:val="009D6D7C"/>
    <w:rsid w:val="00E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DB003"/>
  <w15:chartTrackingRefBased/>
  <w15:docId w15:val="{580D7D80-7CEA-41FA-ABDB-9460D2F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C"/>
    <w:rPr>
      <w:rFonts w:ascii="Monsterrat" w:hAnsi="Monsterrat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6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DIF">
    <w:name w:val="Titulo 2 DIF"/>
    <w:basedOn w:val="Ttulo2"/>
    <w:link w:val="Titulo2DIFCar"/>
    <w:autoRedefine/>
    <w:qFormat/>
    <w:rsid w:val="009D6D7C"/>
    <w:pPr>
      <w:spacing w:before="0" w:after="120" w:line="276" w:lineRule="auto"/>
      <w:jc w:val="both"/>
    </w:pPr>
    <w:rPr>
      <w:rFonts w:ascii="Montserrat" w:eastAsia="Calibri" w:hAnsi="Montserrat"/>
      <w:b/>
      <w:color w:val="990000"/>
      <w:sz w:val="20"/>
    </w:rPr>
  </w:style>
  <w:style w:type="character" w:customStyle="1" w:styleId="Titulo2DIFCar">
    <w:name w:val="Titulo 2 DIF Car"/>
    <w:basedOn w:val="Ttulo2Car"/>
    <w:link w:val="Titulo2DIF"/>
    <w:rsid w:val="009D6D7C"/>
    <w:rPr>
      <w:rFonts w:ascii="Montserrat" w:eastAsia="Calibri" w:hAnsi="Montserrat" w:cstheme="majorBidi"/>
      <w:b/>
      <w:color w:val="990000"/>
      <w:sz w:val="20"/>
      <w:szCs w:val="26"/>
    </w:rPr>
  </w:style>
  <w:style w:type="table" w:styleId="Tablaconcuadrcula">
    <w:name w:val="Table Grid"/>
    <w:basedOn w:val="Tablanormal"/>
    <w:uiPriority w:val="39"/>
    <w:rsid w:val="009D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9D6D7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D6D7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9D6D7C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9D6D7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9D6D7C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6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Antonio Meza Duran</dc:creator>
  <cp:keywords/>
  <dc:description/>
  <cp:lastModifiedBy>Esperanza Zamora Marquez</cp:lastModifiedBy>
  <cp:revision>3</cp:revision>
  <dcterms:created xsi:type="dcterms:W3CDTF">2020-01-17T23:09:00Z</dcterms:created>
  <dcterms:modified xsi:type="dcterms:W3CDTF">2020-01-21T00:46:00Z</dcterms:modified>
</cp:coreProperties>
</file>